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附件6</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hint="eastAsia" w:ascii="黑体" w:hAnsi="黑体" w:eastAsia="黑体"/>
          <w:sz w:val="32"/>
          <w:szCs w:val="36"/>
        </w:rPr>
      </w:pPr>
      <w:r>
        <w:rPr>
          <w:rFonts w:hint="eastAsia" w:ascii="黑体" w:hAnsi="黑体" w:eastAsia="黑体"/>
          <w:sz w:val="32"/>
          <w:szCs w:val="36"/>
        </w:rPr>
        <w:t>课程名称：教师</w:t>
      </w:r>
      <w:r>
        <w:rPr>
          <w:rFonts w:ascii="黑体" w:hAnsi="黑体" w:eastAsia="黑体"/>
          <w:sz w:val="32"/>
          <w:szCs w:val="36"/>
        </w:rPr>
        <w:t>职业道德</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专业类代码：0501</w:t>
      </w:r>
    </w:p>
    <w:p>
      <w:pPr>
        <w:spacing w:line="560" w:lineRule="exact"/>
        <w:ind w:right="28" w:firstLine="1280" w:firstLineChars="400"/>
        <w:rPr>
          <w:rFonts w:hint="eastAsia" w:ascii="黑体" w:hAnsi="黑体" w:eastAsia="黑体"/>
          <w:sz w:val="32"/>
          <w:szCs w:val="36"/>
          <w:u w:val="single"/>
          <w:lang w:val="en-US" w:eastAsia="zh-CN"/>
        </w:rPr>
      </w:pPr>
      <w:r>
        <w:rPr>
          <w:rFonts w:hint="eastAsia" w:ascii="黑体" w:hAnsi="黑体" w:eastAsia="黑体"/>
          <w:sz w:val="32"/>
          <w:szCs w:val="36"/>
        </w:rPr>
        <w:t>课程负责人：</w:t>
      </w:r>
      <w:r>
        <w:rPr>
          <w:rFonts w:hint="eastAsia" w:ascii="黑体" w:hAnsi="黑体" w:eastAsia="黑体"/>
          <w:sz w:val="32"/>
          <w:szCs w:val="36"/>
          <w:lang w:val="en-US" w:eastAsia="zh-CN"/>
        </w:rPr>
        <w:t>宋哲</w:t>
      </w:r>
    </w:p>
    <w:p>
      <w:pPr>
        <w:spacing w:line="560" w:lineRule="exact"/>
        <w:ind w:right="28" w:firstLine="1280" w:firstLineChars="400"/>
        <w:rPr>
          <w:rFonts w:hint="default" w:ascii="黑体" w:hAnsi="黑体" w:eastAsia="黑体"/>
          <w:sz w:val="32"/>
          <w:szCs w:val="36"/>
          <w:lang w:val="en-US" w:eastAsia="zh-CN"/>
        </w:rPr>
      </w:pPr>
      <w:r>
        <w:rPr>
          <w:rFonts w:hint="eastAsia" w:ascii="黑体" w:hAnsi="黑体" w:eastAsia="黑体"/>
          <w:sz w:val="32"/>
          <w:szCs w:val="36"/>
        </w:rPr>
        <w:t>联系电话：</w:t>
      </w:r>
      <w:r>
        <w:rPr>
          <w:rFonts w:hint="eastAsia" w:ascii="黑体" w:hAnsi="黑体" w:eastAsia="黑体"/>
          <w:sz w:val="32"/>
          <w:szCs w:val="36"/>
          <w:lang w:val="en-US" w:eastAsia="zh-CN"/>
        </w:rPr>
        <w:t>13831221055</w:t>
      </w:r>
    </w:p>
    <w:p>
      <w:pPr>
        <w:spacing w:line="560" w:lineRule="exact"/>
        <w:ind w:right="28" w:firstLine="1280" w:firstLineChars="400"/>
        <w:rPr>
          <w:rFonts w:hint="default" w:ascii="黑体" w:hAnsi="黑体" w:eastAsia="黑体"/>
          <w:sz w:val="32"/>
          <w:szCs w:val="36"/>
          <w:u w:val="single"/>
          <w:lang w:val="en-US" w:eastAsia="zh-CN"/>
        </w:rPr>
      </w:pPr>
      <w:r>
        <w:rPr>
          <w:rFonts w:hint="eastAsia" w:ascii="黑体" w:hAnsi="黑体" w:eastAsia="黑体"/>
          <w:sz w:val="32"/>
          <w:szCs w:val="36"/>
        </w:rPr>
        <w:t>申报学校：</w:t>
      </w:r>
      <w:r>
        <w:rPr>
          <w:rFonts w:hint="eastAsia" w:ascii="黑体" w:hAnsi="黑体" w:eastAsia="黑体"/>
          <w:sz w:val="32"/>
          <w:szCs w:val="36"/>
          <w:lang w:val="en-US" w:eastAsia="zh-CN"/>
        </w:rPr>
        <w:t>保定理工学院</w:t>
      </w:r>
    </w:p>
    <w:p>
      <w:pPr>
        <w:snapToGrid w:val="0"/>
        <w:spacing w:line="560" w:lineRule="exact"/>
        <w:ind w:firstLine="1280" w:firstLineChars="400"/>
        <w:jc w:val="left"/>
        <w:rPr>
          <w:rFonts w:hint="default" w:ascii="黑体" w:hAnsi="黑体" w:eastAsia="黑体"/>
          <w:sz w:val="32"/>
          <w:szCs w:val="36"/>
          <w:lang w:val="en-US" w:eastAsia="zh-CN"/>
        </w:rPr>
      </w:pPr>
      <w:r>
        <w:rPr>
          <w:rFonts w:hint="eastAsia" w:ascii="黑体" w:hAnsi="黑体" w:eastAsia="黑体"/>
          <w:sz w:val="32"/>
          <w:szCs w:val="36"/>
        </w:rPr>
        <w:t>填表日期：</w:t>
      </w:r>
      <w:r>
        <w:rPr>
          <w:rFonts w:hint="eastAsia" w:ascii="黑体" w:hAnsi="黑体" w:eastAsia="黑体"/>
          <w:sz w:val="32"/>
          <w:szCs w:val="36"/>
          <w:lang w:val="en-US" w:eastAsia="zh-CN"/>
        </w:rPr>
        <w:t>2023年10月17日</w:t>
      </w:r>
    </w:p>
    <w:p>
      <w:pPr>
        <w:snapToGrid w:val="0"/>
        <w:spacing w:line="560" w:lineRule="exact"/>
        <w:ind w:firstLine="1120" w:firstLineChars="400"/>
        <w:jc w:val="left"/>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并须附教务系统中课程开设信息。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numPr>
          <w:ilvl w:val="255"/>
          <w:numId w:val="0"/>
        </w:numPr>
        <w:rPr>
          <w:rFonts w:ascii="黑体" w:hAnsi="黑体" w:eastAsia="黑体"/>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教师</w:t>
            </w:r>
            <w:r>
              <w:rPr>
                <w:rFonts w:ascii="仿宋_GB2312" w:hAnsi="仿宋_GB2312" w:eastAsia="仿宋_GB2312" w:cs="仿宋_GB2312"/>
                <w:kern w:val="0"/>
                <w:sz w:val="24"/>
                <w:szCs w:val="24"/>
              </w:rPr>
              <w:t>职业道德</w:t>
            </w: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w:t>
            </w:r>
            <w:r>
              <w:rPr>
                <w:rFonts w:hint="eastAsia" w:ascii="微软雅黑" w:hAnsi="微软雅黑" w:eastAsia="微软雅黑" w:cs="微软雅黑"/>
                <w:kern w:val="0"/>
                <w:sz w:val="36"/>
                <w:szCs w:val="36"/>
              </w:rPr>
              <w:t>●</w:t>
            </w:r>
            <w:r>
              <w:rPr>
                <w:rFonts w:hint="eastAsia" w:ascii="仿宋_GB2312" w:hAnsi="仿宋_GB2312" w:eastAsia="仿宋_GB2312" w:cs="仿宋_GB2312"/>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宋哲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保定</w:t>
            </w:r>
            <w:r>
              <w:rPr>
                <w:rFonts w:ascii="仿宋_GB2312" w:hAnsi="仿宋_GB2312" w:eastAsia="仿宋_GB2312" w:cs="仿宋_GB2312"/>
                <w:kern w:val="0"/>
                <w:sz w:val="24"/>
                <w:szCs w:val="24"/>
              </w:rPr>
              <w:t>理工学院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微软雅黑" w:hAnsi="微软雅黑" w:eastAsia="微软雅黑" w:cs="微软雅黑"/>
                <w:kern w:val="0"/>
                <w:sz w:val="36"/>
                <w:szCs w:val="36"/>
              </w:rPr>
              <w:t>●</w:t>
            </w: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微软雅黑" w:hAnsi="微软雅黑" w:eastAsia="微软雅黑" w:cs="微软雅黑"/>
                <w:kern w:val="0"/>
                <w:sz w:val="36"/>
                <w:szCs w:val="36"/>
              </w:rPr>
              <w:t>●</w:t>
            </w: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大学</w:t>
            </w:r>
            <w:r>
              <w:rPr>
                <w:rFonts w:ascii="仿宋_GB2312" w:hAnsi="仿宋_GB2312" w:eastAsia="仿宋_GB2312" w:cs="仿宋_GB2312"/>
                <w:kern w:val="0"/>
                <w:sz w:val="24"/>
                <w:szCs w:val="24"/>
              </w:rPr>
              <w:t>一年级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小学</w:t>
            </w:r>
            <w:r>
              <w:rPr>
                <w:rFonts w:ascii="仿宋_GB2312" w:hAnsi="仿宋_GB2312" w:eastAsia="仿宋_GB2312" w:cs="仿宋_GB2312"/>
                <w:kern w:val="0"/>
                <w:sz w:val="24"/>
                <w:szCs w:val="24"/>
              </w:rPr>
              <w:t>教育专业</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名称及所在地：</w:t>
            </w:r>
            <w:r>
              <w:rPr>
                <w:rFonts w:hint="eastAsia" w:ascii="仿宋_GB2312" w:hAnsi="仿宋_GB2312" w:eastAsia="仿宋_GB2312" w:cs="仿宋_GB2312"/>
                <w:kern w:val="0"/>
                <w:sz w:val="24"/>
                <w:szCs w:val="24"/>
                <w:lang w:val="en-US" w:eastAsia="zh-CN"/>
              </w:rPr>
              <w:t>保定市军校纪念馆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总学时：</w:t>
            </w:r>
            <w:r>
              <w:rPr>
                <w:rFonts w:hint="eastAsia" w:ascii="仿宋_GB2312" w:hAnsi="仿宋_GB2312" w:eastAsia="仿宋_GB2312" w:cs="仿宋_GB2312"/>
                <w:kern w:val="0"/>
                <w:sz w:val="24"/>
                <w:szCs w:val="24"/>
                <w:lang w:val="en-US" w:eastAsia="zh-CN"/>
              </w:rPr>
              <w:t>64学时</w:t>
            </w:r>
            <w:r>
              <w:rPr>
                <w:rFonts w:hint="eastAsia" w:ascii="仿宋_GB2312" w:hAnsi="仿宋_GB2312" w:eastAsia="仿宋_GB2312" w:cs="仿宋_GB2312"/>
                <w:kern w:val="0"/>
                <w:sz w:val="24"/>
                <w:szCs w:val="24"/>
              </w:rPr>
              <w:t xml:space="preserve">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理论课学时：</w:t>
            </w:r>
            <w:r>
              <w:rPr>
                <w:rFonts w:hint="eastAsia" w:ascii="仿宋_GB2312" w:hAnsi="仿宋_GB2312" w:eastAsia="仿宋_GB2312" w:cs="仿宋_GB2312"/>
                <w:kern w:val="0"/>
                <w:sz w:val="24"/>
                <w:szCs w:val="24"/>
                <w:lang w:val="en-US" w:eastAsia="zh-CN"/>
              </w:rPr>
              <w:t>16学时</w:t>
            </w:r>
            <w:r>
              <w:rPr>
                <w:rFonts w:hint="eastAsia" w:ascii="仿宋_GB2312" w:hAnsi="仿宋_GB2312" w:eastAsia="仿宋_GB2312" w:cs="仿宋_GB2312"/>
                <w:kern w:val="0"/>
                <w:sz w:val="24"/>
                <w:szCs w:val="24"/>
              </w:rPr>
              <w:t xml:space="preserve">       </w:t>
            </w:r>
          </w:p>
          <w:p>
            <w:pPr>
              <w:spacing w:line="340" w:lineRule="exac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实践学时：</w:t>
            </w:r>
            <w:r>
              <w:rPr>
                <w:rFonts w:hint="eastAsia" w:ascii="仿宋_GB2312" w:hAnsi="仿宋_GB2312" w:eastAsia="仿宋_GB2312" w:cs="仿宋_GB2312"/>
                <w:kern w:val="0"/>
                <w:sz w:val="24"/>
                <w:szCs w:val="24"/>
                <w:lang w:val="en-US" w:eastAsia="zh-CN"/>
              </w:rPr>
              <w:t>48学时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val="en-US" w:eastAsia="zh-CN"/>
              </w:rPr>
              <w:t>2022年3月7日  — 2022 年6 月 24日</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val="en-US" w:eastAsia="zh-CN"/>
              </w:rPr>
              <w:t>2021年3月7日  — 2022 年6 月 24日</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1552</w:t>
            </w: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051"/>
        <w:gridCol w:w="851"/>
        <w:gridCol w:w="708"/>
        <w:gridCol w:w="851"/>
        <w:gridCol w:w="1417"/>
        <w:gridCol w:w="1418"/>
        <w:gridCol w:w="745"/>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05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年月</w:t>
            </w:r>
          </w:p>
        </w:tc>
        <w:tc>
          <w:tcPr>
            <w:tcW w:w="851"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08"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851"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417"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418"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745"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w:t>
            </w:r>
          </w:p>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734"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宋哲</w:t>
            </w:r>
          </w:p>
        </w:tc>
        <w:tc>
          <w:tcPr>
            <w:tcW w:w="1051"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1981.01</w:t>
            </w:r>
          </w:p>
        </w:tc>
        <w:tc>
          <w:tcPr>
            <w:tcW w:w="851" w:type="dxa"/>
            <w:vAlign w:val="center"/>
          </w:tcPr>
          <w:p>
            <w:pPr>
              <w:spacing w:line="340" w:lineRule="atLeas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保定</w:t>
            </w:r>
            <w:r>
              <w:rPr>
                <w:rFonts w:ascii="Times New Roman" w:hAnsi="Times New Roman" w:eastAsia="仿宋_GB2312" w:cs="Times New Roman"/>
                <w:kern w:val="0"/>
                <w:szCs w:val="21"/>
              </w:rPr>
              <w:t>理工学院</w:t>
            </w:r>
          </w:p>
        </w:tc>
        <w:tc>
          <w:tcPr>
            <w:tcW w:w="708"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教师</w:t>
            </w:r>
          </w:p>
        </w:tc>
        <w:tc>
          <w:tcPr>
            <w:tcW w:w="851"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副教授</w:t>
            </w:r>
          </w:p>
        </w:tc>
        <w:tc>
          <w:tcPr>
            <w:tcW w:w="1417" w:type="dxa"/>
            <w:vAlign w:val="center"/>
          </w:tcPr>
          <w:p>
            <w:pPr>
              <w:spacing w:line="340" w:lineRule="atLeas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13831221055</w:t>
            </w:r>
          </w:p>
        </w:tc>
        <w:tc>
          <w:tcPr>
            <w:tcW w:w="1418" w:type="dxa"/>
            <w:vAlign w:val="center"/>
          </w:tcPr>
          <w:p>
            <w:pPr>
              <w:spacing w:line="340" w:lineRule="atLeas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369897862@qq.con</w:t>
            </w:r>
          </w:p>
        </w:tc>
        <w:tc>
          <w:tcPr>
            <w:tcW w:w="745" w:type="dxa"/>
            <w:vAlign w:val="center"/>
          </w:tcPr>
          <w:p>
            <w:pPr>
              <w:spacing w:line="340" w:lineRule="atLeas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理论</w:t>
            </w:r>
            <w:r>
              <w:rPr>
                <w:rFonts w:ascii="Times New Roman" w:hAnsi="Times New Roman" w:eastAsia="仿宋_GB2312" w:cs="Times New Roman"/>
                <w:kern w:val="0"/>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郑楠</w:t>
            </w:r>
          </w:p>
        </w:tc>
        <w:tc>
          <w:tcPr>
            <w:tcW w:w="1051"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1987.04</w:t>
            </w:r>
          </w:p>
        </w:tc>
        <w:tc>
          <w:tcPr>
            <w:tcW w:w="851" w:type="dxa"/>
            <w:vAlign w:val="center"/>
          </w:tcPr>
          <w:p>
            <w:pPr>
              <w:spacing w:line="340" w:lineRule="atLeast"/>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保定</w:t>
            </w:r>
            <w:r>
              <w:rPr>
                <w:rFonts w:ascii="Times New Roman" w:hAnsi="Times New Roman" w:eastAsia="仿宋_GB2312" w:cs="Times New Roman"/>
                <w:kern w:val="0"/>
                <w:szCs w:val="21"/>
              </w:rPr>
              <w:t>理工学院</w:t>
            </w:r>
          </w:p>
        </w:tc>
        <w:tc>
          <w:tcPr>
            <w:tcW w:w="708" w:type="dxa"/>
            <w:vAlign w:val="center"/>
          </w:tcPr>
          <w:p>
            <w:pPr>
              <w:spacing w:line="340" w:lineRule="atLeast"/>
              <w:jc w:val="center"/>
              <w:rPr>
                <w:rFonts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教师</w:t>
            </w:r>
          </w:p>
        </w:tc>
        <w:tc>
          <w:tcPr>
            <w:tcW w:w="851" w:type="dxa"/>
            <w:vAlign w:val="center"/>
          </w:tcPr>
          <w:p>
            <w:pPr>
              <w:spacing w:line="340" w:lineRule="atLeast"/>
              <w:jc w:val="center"/>
              <w:rPr>
                <w:rFonts w:ascii="仿宋_GB2312" w:hAnsi="仿宋_GB2312" w:eastAsia="仿宋_GB2312" w:cs="仿宋_GB2312"/>
                <w:kern w:val="0"/>
                <w:sz w:val="24"/>
                <w:szCs w:val="24"/>
              </w:rPr>
            </w:pPr>
            <w:r>
              <w:rPr>
                <w:rFonts w:hint="eastAsia" w:ascii="Times New Roman" w:hAnsi="Times New Roman" w:eastAsia="仿宋_GB2312" w:cs="Times New Roman"/>
                <w:kern w:val="0"/>
                <w:szCs w:val="21"/>
              </w:rPr>
              <w:t>副教授</w:t>
            </w:r>
          </w:p>
        </w:tc>
        <w:tc>
          <w:tcPr>
            <w:tcW w:w="1417"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15631251553</w:t>
            </w:r>
          </w:p>
        </w:tc>
        <w:tc>
          <w:tcPr>
            <w:tcW w:w="1418"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420358935@qq.com</w:t>
            </w:r>
          </w:p>
        </w:tc>
        <w:tc>
          <w:tcPr>
            <w:tcW w:w="745" w:type="dxa"/>
            <w:vAlign w:val="center"/>
          </w:tcPr>
          <w:p>
            <w:pPr>
              <w:spacing w:line="340" w:lineRule="atLeast"/>
              <w:jc w:val="center"/>
              <w:rPr>
                <w:rFonts w:ascii="仿宋_GB2312" w:hAnsi="仿宋_GB2312" w:eastAsia="仿宋_GB2312" w:cs="仿宋_GB2312"/>
                <w:kern w:val="0"/>
                <w:sz w:val="24"/>
                <w:szCs w:val="24"/>
              </w:rPr>
            </w:pPr>
            <w:r>
              <w:rPr>
                <w:rFonts w:hint="eastAsia" w:ascii="Times New Roman" w:hAnsi="Times New Roman" w:eastAsia="仿宋_GB2312" w:cs="Times New Roman"/>
                <w:kern w:val="0"/>
                <w:szCs w:val="21"/>
              </w:rPr>
              <w:t>理论</w:t>
            </w:r>
            <w:r>
              <w:rPr>
                <w:rFonts w:ascii="Times New Roman" w:hAnsi="Times New Roman" w:eastAsia="仿宋_GB2312" w:cs="Times New Roman"/>
                <w:kern w:val="0"/>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王志萍</w:t>
            </w:r>
          </w:p>
        </w:tc>
        <w:tc>
          <w:tcPr>
            <w:tcW w:w="1051"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1986.10</w:t>
            </w:r>
          </w:p>
        </w:tc>
        <w:tc>
          <w:tcPr>
            <w:tcW w:w="851" w:type="dxa"/>
            <w:vAlign w:val="center"/>
          </w:tcPr>
          <w:p>
            <w:pPr>
              <w:spacing w:line="340" w:lineRule="atLeast"/>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保定</w:t>
            </w:r>
            <w:r>
              <w:rPr>
                <w:rFonts w:ascii="Times New Roman" w:hAnsi="Times New Roman" w:eastAsia="仿宋_GB2312" w:cs="Times New Roman"/>
                <w:kern w:val="0"/>
                <w:szCs w:val="21"/>
              </w:rPr>
              <w:t>理工学院</w:t>
            </w:r>
          </w:p>
        </w:tc>
        <w:tc>
          <w:tcPr>
            <w:tcW w:w="708" w:type="dxa"/>
            <w:vAlign w:val="center"/>
          </w:tcPr>
          <w:p>
            <w:pPr>
              <w:spacing w:line="340" w:lineRule="atLeast"/>
              <w:jc w:val="center"/>
              <w:rPr>
                <w:rFonts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教师</w:t>
            </w:r>
          </w:p>
        </w:tc>
        <w:tc>
          <w:tcPr>
            <w:tcW w:w="851"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副教授</w:t>
            </w:r>
          </w:p>
        </w:tc>
        <w:tc>
          <w:tcPr>
            <w:tcW w:w="1417"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13383226076</w:t>
            </w:r>
          </w:p>
        </w:tc>
        <w:tc>
          <w:tcPr>
            <w:tcW w:w="1418"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872068220@qq.com</w:t>
            </w:r>
          </w:p>
        </w:tc>
        <w:tc>
          <w:tcPr>
            <w:tcW w:w="745"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理论</w:t>
            </w:r>
            <w:r>
              <w:rPr>
                <w:rFonts w:ascii="Times New Roman" w:hAnsi="Times New Roman" w:eastAsia="仿宋_GB2312" w:cs="Times New Roman"/>
                <w:kern w:val="0"/>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蔡萌萌</w:t>
            </w:r>
          </w:p>
        </w:tc>
        <w:tc>
          <w:tcPr>
            <w:tcW w:w="1051"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1992.</w:t>
            </w:r>
            <w:r>
              <w:rPr>
                <w:rFonts w:hint="eastAsia" w:ascii="Times New Roman" w:hAnsi="Times New Roman" w:eastAsia="仿宋_GB2312" w:cs="Times New Roman"/>
                <w:kern w:val="0"/>
                <w:szCs w:val="21"/>
                <w:lang w:val="en-US" w:eastAsia="zh-CN"/>
              </w:rPr>
              <w:t>0</w:t>
            </w:r>
            <w:r>
              <w:rPr>
                <w:rFonts w:hint="eastAsia" w:ascii="Times New Roman" w:hAnsi="Times New Roman" w:eastAsia="仿宋_GB2312" w:cs="Times New Roman"/>
                <w:kern w:val="0"/>
                <w:szCs w:val="21"/>
              </w:rPr>
              <w:t>6</w:t>
            </w:r>
          </w:p>
        </w:tc>
        <w:tc>
          <w:tcPr>
            <w:tcW w:w="851" w:type="dxa"/>
            <w:vAlign w:val="center"/>
          </w:tcPr>
          <w:p>
            <w:pPr>
              <w:spacing w:line="340" w:lineRule="atLeast"/>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保定</w:t>
            </w:r>
            <w:r>
              <w:rPr>
                <w:rFonts w:ascii="Times New Roman" w:hAnsi="Times New Roman" w:eastAsia="仿宋_GB2312" w:cs="Times New Roman"/>
                <w:kern w:val="0"/>
                <w:szCs w:val="21"/>
              </w:rPr>
              <w:t>理工学院</w:t>
            </w:r>
          </w:p>
        </w:tc>
        <w:tc>
          <w:tcPr>
            <w:tcW w:w="708" w:type="dxa"/>
            <w:vAlign w:val="center"/>
          </w:tcPr>
          <w:p>
            <w:pPr>
              <w:spacing w:line="340" w:lineRule="atLeast"/>
              <w:jc w:val="center"/>
              <w:rPr>
                <w:rFonts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教师</w:t>
            </w:r>
          </w:p>
        </w:tc>
        <w:tc>
          <w:tcPr>
            <w:tcW w:w="851" w:type="dxa"/>
            <w:vAlign w:val="center"/>
          </w:tcPr>
          <w:p>
            <w:pPr>
              <w:spacing w:line="340" w:lineRule="atLeast"/>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讲师</w:t>
            </w:r>
          </w:p>
        </w:tc>
        <w:tc>
          <w:tcPr>
            <w:tcW w:w="1417"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17692260992</w:t>
            </w:r>
          </w:p>
        </w:tc>
        <w:tc>
          <w:tcPr>
            <w:tcW w:w="1418"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847276416@qq.com</w:t>
            </w:r>
          </w:p>
        </w:tc>
        <w:tc>
          <w:tcPr>
            <w:tcW w:w="745"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理论</w:t>
            </w:r>
            <w:r>
              <w:rPr>
                <w:rFonts w:ascii="Times New Roman" w:hAnsi="Times New Roman" w:eastAsia="仿宋_GB2312" w:cs="Times New Roman"/>
                <w:kern w:val="0"/>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苏畅</w:t>
            </w:r>
          </w:p>
        </w:tc>
        <w:tc>
          <w:tcPr>
            <w:tcW w:w="1051"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1993.</w:t>
            </w:r>
            <w:r>
              <w:rPr>
                <w:rFonts w:hint="eastAsia" w:ascii="Times New Roman" w:hAnsi="Times New Roman" w:eastAsia="仿宋_GB2312" w:cs="Times New Roman"/>
                <w:kern w:val="0"/>
                <w:szCs w:val="21"/>
                <w:lang w:val="en-US" w:eastAsia="zh-CN"/>
              </w:rPr>
              <w:t>0</w:t>
            </w:r>
            <w:r>
              <w:rPr>
                <w:rFonts w:hint="eastAsia" w:ascii="Times New Roman" w:hAnsi="Times New Roman" w:eastAsia="仿宋_GB2312" w:cs="Times New Roman"/>
                <w:kern w:val="0"/>
                <w:szCs w:val="21"/>
              </w:rPr>
              <w:t>9</w:t>
            </w:r>
          </w:p>
        </w:tc>
        <w:tc>
          <w:tcPr>
            <w:tcW w:w="851" w:type="dxa"/>
            <w:vAlign w:val="center"/>
          </w:tcPr>
          <w:p>
            <w:pPr>
              <w:spacing w:line="340" w:lineRule="atLeast"/>
              <w:jc w:val="center"/>
              <w:rPr>
                <w:rFonts w:hint="eastAsia"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保定</w:t>
            </w:r>
            <w:r>
              <w:rPr>
                <w:rFonts w:ascii="Times New Roman" w:hAnsi="Times New Roman" w:eastAsia="仿宋_GB2312" w:cs="Times New Roman"/>
                <w:kern w:val="0"/>
                <w:szCs w:val="21"/>
              </w:rPr>
              <w:t>理工学院</w:t>
            </w:r>
          </w:p>
        </w:tc>
        <w:tc>
          <w:tcPr>
            <w:tcW w:w="708" w:type="dxa"/>
            <w:vAlign w:val="center"/>
          </w:tcPr>
          <w:p>
            <w:pPr>
              <w:spacing w:line="340" w:lineRule="atLeast"/>
              <w:jc w:val="center"/>
              <w:rPr>
                <w:rFonts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kern w:val="0"/>
                <w:szCs w:val="21"/>
              </w:rPr>
              <w:t>教师</w:t>
            </w:r>
          </w:p>
        </w:tc>
        <w:tc>
          <w:tcPr>
            <w:tcW w:w="851" w:type="dxa"/>
            <w:vAlign w:val="center"/>
          </w:tcPr>
          <w:p>
            <w:pPr>
              <w:spacing w:line="340" w:lineRule="atLeast"/>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研究生（未评级）</w:t>
            </w:r>
          </w:p>
        </w:tc>
        <w:tc>
          <w:tcPr>
            <w:tcW w:w="1417"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13831201211</w:t>
            </w:r>
          </w:p>
        </w:tc>
        <w:tc>
          <w:tcPr>
            <w:tcW w:w="1418" w:type="dxa"/>
            <w:vAlign w:val="center"/>
          </w:tcPr>
          <w:p>
            <w:pPr>
              <w:spacing w:line="340" w:lineRule="atLeast"/>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54384211@qq.com</w:t>
            </w:r>
          </w:p>
        </w:tc>
        <w:tc>
          <w:tcPr>
            <w:tcW w:w="745" w:type="dxa"/>
            <w:vAlign w:val="center"/>
          </w:tcPr>
          <w:p>
            <w:pPr>
              <w:spacing w:line="340" w:lineRule="atLeast"/>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理论</w:t>
            </w:r>
            <w:r>
              <w:rPr>
                <w:rFonts w:ascii="Times New Roman" w:hAnsi="Times New Roman" w:eastAsia="仿宋_GB2312" w:cs="Times New Roman"/>
                <w:kern w:val="0"/>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keepNext w:val="0"/>
              <w:keepLines w:val="0"/>
              <w:pageBreakBefore w:val="0"/>
              <w:widowControl w:val="0"/>
              <w:kinsoku/>
              <w:wordWrap/>
              <w:overflowPunct/>
              <w:topLinePunct w:val="0"/>
              <w:autoSpaceDE/>
              <w:autoSpaceDN/>
              <w:bidi w:val="0"/>
              <w:adjustRightInd/>
              <w:snapToGrid/>
              <w:spacing w:line="340" w:lineRule="atLeast"/>
              <w:ind w:firstLine="480" w:firstLineChars="200"/>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宋哲，骨干教师，双师双能型教师，电子商务创业导师、家庭教育指导师，2020年河北省省级一流课程主讲人，2021年被聘任为保定市家庭教育专家委员会委员，2022年8月被推选为“河北省工业和信息化厅专家”</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340" w:lineRule="atLeast"/>
              <w:ind w:firstLine="420"/>
              <w:textAlignment w:val="auto"/>
              <w:rPr>
                <w:rFonts w:hint="eastAsia" w:ascii="仿宋" w:hAnsi="仿宋" w:eastAsia="仿宋" w:cs="仿宋"/>
                <w:b/>
                <w:bCs/>
                <w:sz w:val="24"/>
                <w:szCs w:val="24"/>
              </w:rPr>
            </w:pPr>
            <w:r>
              <w:rPr>
                <w:rFonts w:hint="eastAsia" w:ascii="仿宋" w:hAnsi="仿宋" w:eastAsia="仿宋" w:cs="仿宋"/>
                <w:b/>
                <w:bCs/>
                <w:sz w:val="24"/>
                <w:szCs w:val="24"/>
              </w:rPr>
              <w:t>教学任务</w:t>
            </w:r>
          </w:p>
          <w:p>
            <w:pPr>
              <w:keepNext w:val="0"/>
              <w:keepLines w:val="0"/>
              <w:pageBreakBefore w:val="0"/>
              <w:widowControl w:val="0"/>
              <w:numPr>
                <w:ilvl w:val="0"/>
                <w:numId w:val="0"/>
              </w:numPr>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lang w:eastAsia="zh-CN"/>
              </w:rPr>
            </w:pPr>
            <w:r>
              <w:rPr>
                <w:rFonts w:hint="eastAsia" w:ascii="仿宋" w:hAnsi="仿宋" w:eastAsia="仿宋" w:cs="仿宋"/>
                <w:sz w:val="24"/>
                <w:lang w:val="en-US" w:eastAsia="zh-CN"/>
              </w:rPr>
              <w:t>宋哲：</w:t>
            </w:r>
            <w:r>
              <w:rPr>
                <w:rFonts w:hint="eastAsia" w:ascii="仿宋" w:hAnsi="仿宋" w:eastAsia="仿宋" w:cs="仿宋"/>
                <w:sz w:val="24"/>
              </w:rPr>
              <w:t>讲授该门课程理论与指导实践，平均年工作量达</w:t>
            </w:r>
            <w:r>
              <w:rPr>
                <w:rFonts w:hint="eastAsia" w:ascii="仿宋" w:hAnsi="仿宋" w:eastAsia="仿宋" w:cs="仿宋"/>
                <w:sz w:val="24"/>
                <w:lang w:val="en-US" w:eastAsia="zh-CN"/>
              </w:rPr>
              <w:t>280</w:t>
            </w:r>
            <w:r>
              <w:rPr>
                <w:rFonts w:hint="eastAsia" w:ascii="仿宋" w:hAnsi="仿宋" w:eastAsia="仿宋" w:cs="仿宋"/>
                <w:sz w:val="24"/>
              </w:rPr>
              <w:t>余学时；</w:t>
            </w:r>
            <w:r>
              <w:rPr>
                <w:rFonts w:hint="eastAsia" w:ascii="仿宋" w:hAnsi="仿宋" w:eastAsia="仿宋" w:cs="仿宋"/>
                <w:sz w:val="24"/>
                <w:lang w:val="en-US" w:eastAsia="zh-CN"/>
              </w:rPr>
              <w:t>郑楠</w:t>
            </w:r>
            <w:r>
              <w:rPr>
                <w:rFonts w:hint="eastAsia" w:ascii="仿宋" w:hAnsi="仿宋" w:eastAsia="仿宋" w:cs="仿宋"/>
                <w:sz w:val="24"/>
              </w:rPr>
              <w:t>：讲授该门课程理论与指导实践，平均年工作量达</w:t>
            </w:r>
            <w:r>
              <w:rPr>
                <w:rFonts w:hint="eastAsia" w:ascii="仿宋" w:hAnsi="仿宋" w:eastAsia="仿宋" w:cs="仿宋"/>
                <w:sz w:val="24"/>
                <w:lang w:val="en-US" w:eastAsia="zh-CN"/>
              </w:rPr>
              <w:t>100</w:t>
            </w:r>
            <w:r>
              <w:rPr>
                <w:rFonts w:hint="eastAsia" w:ascii="仿宋" w:hAnsi="仿宋" w:eastAsia="仿宋" w:cs="仿宋"/>
                <w:sz w:val="24"/>
              </w:rPr>
              <w:t>余学时；</w:t>
            </w:r>
            <w:r>
              <w:rPr>
                <w:rFonts w:hint="eastAsia" w:ascii="仿宋" w:hAnsi="仿宋" w:eastAsia="仿宋" w:cs="仿宋"/>
                <w:sz w:val="24"/>
                <w:lang w:val="en-US" w:eastAsia="zh-CN"/>
              </w:rPr>
              <w:t>王志萍</w:t>
            </w:r>
            <w:r>
              <w:rPr>
                <w:rFonts w:hint="eastAsia" w:ascii="仿宋" w:hAnsi="仿宋" w:eastAsia="仿宋" w:cs="仿宋"/>
                <w:sz w:val="24"/>
              </w:rPr>
              <w:t>：指导该门课程实践，累计年工作量260余学时；</w:t>
            </w:r>
            <w:r>
              <w:rPr>
                <w:rFonts w:hint="eastAsia" w:ascii="仿宋" w:hAnsi="仿宋" w:eastAsia="仿宋" w:cs="仿宋"/>
                <w:sz w:val="24"/>
                <w:lang w:val="en-US" w:eastAsia="zh-CN"/>
              </w:rPr>
              <w:t>蔡萌萌：</w:t>
            </w:r>
            <w:r>
              <w:rPr>
                <w:rFonts w:hint="eastAsia" w:ascii="仿宋" w:hAnsi="仿宋" w:eastAsia="仿宋" w:cs="仿宋"/>
                <w:sz w:val="24"/>
              </w:rPr>
              <w:t>讲授该门课程理论与指导实践，平均年工作量达</w:t>
            </w:r>
            <w:r>
              <w:rPr>
                <w:rFonts w:hint="eastAsia" w:ascii="仿宋" w:hAnsi="仿宋" w:eastAsia="仿宋" w:cs="仿宋"/>
                <w:sz w:val="24"/>
                <w:lang w:val="en-US" w:eastAsia="zh-CN"/>
              </w:rPr>
              <w:t>300</w:t>
            </w:r>
            <w:r>
              <w:rPr>
                <w:rFonts w:hint="eastAsia" w:ascii="仿宋" w:hAnsi="仿宋" w:eastAsia="仿宋" w:cs="仿宋"/>
                <w:sz w:val="24"/>
              </w:rPr>
              <w:t>余学时；</w:t>
            </w:r>
            <w:r>
              <w:rPr>
                <w:rFonts w:hint="eastAsia" w:ascii="仿宋" w:hAnsi="仿宋" w:eastAsia="仿宋" w:cs="仿宋"/>
                <w:sz w:val="24"/>
                <w:lang w:val="en-US" w:eastAsia="zh-CN"/>
              </w:rPr>
              <w:t>苏畅：</w:t>
            </w:r>
            <w:r>
              <w:rPr>
                <w:rFonts w:hint="eastAsia" w:ascii="仿宋" w:hAnsi="仿宋" w:eastAsia="仿宋" w:cs="仿宋"/>
                <w:sz w:val="24"/>
              </w:rPr>
              <w:t>讲授该门课程理论与指导实践，平均年工作量达</w:t>
            </w:r>
            <w:r>
              <w:rPr>
                <w:rFonts w:hint="eastAsia" w:ascii="仿宋" w:hAnsi="仿宋" w:eastAsia="仿宋" w:cs="仿宋"/>
                <w:sz w:val="24"/>
                <w:lang w:val="en-US" w:eastAsia="zh-CN"/>
              </w:rPr>
              <w:t>300</w:t>
            </w:r>
            <w:r>
              <w:rPr>
                <w:rFonts w:hint="eastAsia" w:ascii="仿宋" w:hAnsi="仿宋" w:eastAsia="仿宋" w:cs="仿宋"/>
                <w:sz w:val="24"/>
              </w:rPr>
              <w:t>余学时</w:t>
            </w:r>
            <w:r>
              <w:rPr>
                <w:rFonts w:hint="eastAsia" w:ascii="仿宋" w:hAnsi="仿宋" w:eastAsia="仿宋" w:cs="仿宋"/>
                <w:sz w:val="24"/>
                <w:lang w:eastAsia="zh-CN"/>
              </w:rPr>
              <w:t>。</w:t>
            </w:r>
          </w:p>
          <w:p>
            <w:pPr>
              <w:keepNext w:val="0"/>
              <w:keepLines w:val="0"/>
              <w:pageBreakBefore w:val="0"/>
              <w:widowControl w:val="0"/>
              <w:kinsoku/>
              <w:wordWrap/>
              <w:overflowPunct/>
              <w:topLinePunct w:val="0"/>
              <w:autoSpaceDE/>
              <w:autoSpaceDN/>
              <w:bidi w:val="0"/>
              <w:adjustRightInd/>
              <w:snapToGrid/>
              <w:spacing w:line="340" w:lineRule="atLeast"/>
              <w:ind w:firstLine="482" w:firstLineChars="200"/>
              <w:textAlignment w:val="auto"/>
              <w:rPr>
                <w:rFonts w:ascii="仿宋" w:hAnsi="仿宋" w:eastAsia="仿宋" w:cs="仿宋"/>
                <w:b/>
                <w:bCs/>
                <w:sz w:val="24"/>
                <w:szCs w:val="24"/>
              </w:rPr>
            </w:pPr>
            <w:r>
              <w:rPr>
                <w:rFonts w:hint="eastAsia" w:ascii="仿宋" w:hAnsi="仿宋" w:eastAsia="仿宋" w:cs="仿宋"/>
                <w:b/>
                <w:bCs/>
                <w:sz w:val="24"/>
                <w:szCs w:val="24"/>
              </w:rPr>
              <w:t>二、教学研究</w:t>
            </w:r>
          </w:p>
          <w:p>
            <w:pPr>
              <w:keepNext w:val="0"/>
              <w:keepLines w:val="0"/>
              <w:pageBreakBefore w:val="0"/>
              <w:widowControl w:val="0"/>
              <w:numPr>
                <w:ilvl w:val="0"/>
                <w:numId w:val="0"/>
              </w:numPr>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宋哲：</w:t>
            </w:r>
            <w:r>
              <w:rPr>
                <w:rFonts w:hint="eastAsia" w:ascii="仿宋" w:hAnsi="仿宋" w:eastAsia="仿宋" w:cs="仿宋"/>
                <w:sz w:val="24"/>
              </w:rPr>
              <w:t>近</w:t>
            </w:r>
            <w:r>
              <w:rPr>
                <w:rFonts w:hint="eastAsia" w:ascii="仿宋" w:hAnsi="仿宋" w:eastAsia="仿宋" w:cs="仿宋"/>
                <w:sz w:val="24"/>
                <w:lang w:val="en-US" w:eastAsia="zh-CN"/>
              </w:rPr>
              <w:t>五</w:t>
            </w:r>
            <w:r>
              <w:rPr>
                <w:rFonts w:hint="eastAsia" w:ascii="仿宋" w:hAnsi="仿宋" w:eastAsia="仿宋" w:cs="仿宋"/>
                <w:sz w:val="24"/>
              </w:rPr>
              <w:t>年来，以第一作者共发表论文十几篇，参编教材3部，主编教材1部，主持省级课题1项，厅级课题1项，参与省级课题3项，校级课题2项，部分成果如下：课题：河北省教育厅人文社会科学研究项目《“双减”政策下家庭教育的指导途径研究》，2023；河北省民办教育协会《家庭教育法治化的研究》,2021；保定市哲学社会科学规划办《法治河北建设背景下高校普法教育新路径的探索研究》,2022。利用学习通促进学生自主学习的研究与实践—以经济法课程为例，2021；基于产教融合视角下应用型民办高校“四个三”师资队伍培养体系创新研究。论文：家庭教育律法的问题与对策浅析——以河北省为例，文渊，2021；“双减”政策下家庭教育的指导途径研究 美眉，2022；“双减”政策背景下家庭教育面临的挑战 美丽中国，2022。教材：《幼儿教师职业道德》 首都师范大学出版社。</w:t>
            </w:r>
          </w:p>
          <w:p>
            <w:pPr>
              <w:keepNext w:val="0"/>
              <w:keepLines w:val="0"/>
              <w:pageBreakBefore w:val="0"/>
              <w:widowControl w:val="0"/>
              <w:numPr>
                <w:ilvl w:val="0"/>
                <w:numId w:val="0"/>
              </w:numPr>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郑楠：</w:t>
            </w:r>
            <w:r>
              <w:rPr>
                <w:rFonts w:hint="default" w:ascii="仿宋" w:hAnsi="仿宋" w:eastAsia="仿宋" w:cs="仿宋"/>
                <w:sz w:val="24"/>
                <w:lang w:val="en-US" w:eastAsia="zh-CN"/>
              </w:rPr>
              <w:t>基于“155”专创融合模式创业教育课程教学改革研究——以学前教育专业为例</w:t>
            </w:r>
            <w:r>
              <w:rPr>
                <w:rFonts w:hint="eastAsia" w:ascii="仿宋" w:hAnsi="仿宋" w:eastAsia="仿宋" w:cs="仿宋"/>
                <w:sz w:val="24"/>
                <w:lang w:val="en-US" w:eastAsia="zh-CN"/>
              </w:rPr>
              <w:t>，河北省教育厅，主持，2023.12；</w:t>
            </w:r>
            <w:r>
              <w:rPr>
                <w:rFonts w:hint="default" w:ascii="仿宋" w:hAnsi="仿宋" w:eastAsia="仿宋" w:cs="仿宋"/>
                <w:sz w:val="24"/>
                <w:lang w:val="en-US" w:eastAsia="zh-CN"/>
              </w:rPr>
              <w:t>基于专创融合背景下应用型本科高校师资队伍培养体系研究——学前教育专业为例</w:t>
            </w:r>
            <w:r>
              <w:rPr>
                <w:rFonts w:hint="eastAsia" w:ascii="仿宋" w:hAnsi="仿宋" w:eastAsia="仿宋" w:cs="仿宋"/>
                <w:sz w:val="24"/>
                <w:lang w:val="en-US" w:eastAsia="zh-CN"/>
              </w:rPr>
              <w:t>，教育部产学研协调育人项目，主持，2022.12；</w:t>
            </w:r>
            <w:r>
              <w:rPr>
                <w:rFonts w:hint="default" w:ascii="仿宋" w:hAnsi="仿宋" w:eastAsia="仿宋" w:cs="仿宋"/>
                <w:sz w:val="24"/>
                <w:lang w:val="en-US" w:eastAsia="zh-CN"/>
              </w:rPr>
              <w:t>基于定向人才培养培训的虚拟仿真专创融合平台构建</w:t>
            </w:r>
            <w:r>
              <w:rPr>
                <w:rFonts w:hint="eastAsia" w:ascii="仿宋" w:hAnsi="仿宋" w:eastAsia="仿宋" w:cs="仿宋"/>
                <w:sz w:val="24"/>
                <w:lang w:val="en-US" w:eastAsia="zh-CN"/>
              </w:rPr>
              <w:t>，教育部就业育人项目，主持，2021.12；</w:t>
            </w:r>
            <w:r>
              <w:rPr>
                <w:rFonts w:hint="default" w:ascii="仿宋" w:hAnsi="仿宋" w:eastAsia="仿宋" w:cs="仿宋"/>
                <w:sz w:val="24"/>
                <w:lang w:val="en-US" w:eastAsia="zh-CN"/>
              </w:rPr>
              <w:t>基于“155”专创融合模式创业教育课程教学改革研究——以学前教育专业为例</w:t>
            </w:r>
            <w:r>
              <w:rPr>
                <w:rFonts w:hint="eastAsia" w:ascii="仿宋" w:hAnsi="仿宋" w:eastAsia="仿宋" w:cs="仿宋"/>
                <w:sz w:val="24"/>
                <w:lang w:val="en-US" w:eastAsia="zh-CN"/>
              </w:rPr>
              <w:t>，河北省教育厅，第六届创新创业论文成果三等奖，2023.1；</w:t>
            </w:r>
          </w:p>
          <w:p>
            <w:pPr>
              <w:keepNext w:val="0"/>
              <w:keepLines w:val="0"/>
              <w:pageBreakBefore w:val="0"/>
              <w:widowControl w:val="0"/>
              <w:kinsoku/>
              <w:wordWrap/>
              <w:overflowPunct/>
              <w:topLinePunct w:val="0"/>
              <w:autoSpaceDE/>
              <w:autoSpaceDN/>
              <w:bidi w:val="0"/>
              <w:adjustRightInd/>
              <w:snapToGrid/>
              <w:spacing w:line="340" w:lineRule="atLeast"/>
              <w:ind w:firstLine="482" w:firstLineChars="200"/>
              <w:textAlignment w:val="auto"/>
              <w:rPr>
                <w:rFonts w:ascii="仿宋" w:hAnsi="仿宋" w:eastAsia="仿宋" w:cs="仿宋"/>
                <w:sz w:val="24"/>
                <w:szCs w:val="24"/>
              </w:rPr>
            </w:pPr>
            <w:r>
              <w:rPr>
                <w:rFonts w:hint="eastAsia" w:ascii="仿宋" w:hAnsi="仿宋" w:eastAsia="仿宋" w:cs="仿宋"/>
                <w:b/>
                <w:bCs/>
                <w:sz w:val="24"/>
                <w:szCs w:val="24"/>
              </w:rPr>
              <w:t>三、教学奖励</w:t>
            </w:r>
          </w:p>
          <w:p>
            <w:pPr>
              <w:keepNext w:val="0"/>
              <w:keepLines w:val="0"/>
              <w:pageBreakBefore w:val="0"/>
              <w:widowControl w:val="0"/>
              <w:numPr>
                <w:ilvl w:val="0"/>
                <w:numId w:val="0"/>
              </w:numPr>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宋哲：2023年1月寒假教学演练一等奖；2023年4月优秀教研室活动评比一等奖；2022年10月“中国梦”全国优秀教育教学论文评选一等奖。2020年12月《经济法》课程荣获第六届全国西浦教学创新大赛三等奖（主讲人）。</w:t>
            </w:r>
          </w:p>
          <w:p>
            <w:pPr>
              <w:keepNext w:val="0"/>
              <w:keepLines w:val="0"/>
              <w:pageBreakBefore w:val="0"/>
              <w:widowControl w:val="0"/>
              <w:numPr>
                <w:ilvl w:val="0"/>
                <w:numId w:val="0"/>
              </w:numPr>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郑楠：2021年12月“匠心·园丁情”教师创课大赛二等奖；2020年12月《经济法》课程荣获第六届全国西浦教学创新大赛三等奖（主讲人）。</w:t>
            </w:r>
          </w:p>
          <w:p>
            <w:pPr>
              <w:keepNext w:val="0"/>
              <w:keepLines w:val="0"/>
              <w:pageBreakBefore w:val="0"/>
              <w:widowControl w:val="0"/>
              <w:numPr>
                <w:ilvl w:val="0"/>
                <w:numId w:val="0"/>
              </w:numPr>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蔡萌萌：2022年10月“中教杯”一等奖；</w:t>
            </w:r>
          </w:p>
          <w:p>
            <w:pPr>
              <w:keepNext w:val="0"/>
              <w:keepLines w:val="0"/>
              <w:pageBreakBefore w:val="0"/>
              <w:widowControl w:val="0"/>
              <w:numPr>
                <w:ilvl w:val="0"/>
                <w:numId w:val="0"/>
              </w:numPr>
              <w:kinsoku/>
              <w:wordWrap/>
              <w:overflowPunct/>
              <w:topLinePunct w:val="0"/>
              <w:autoSpaceDE/>
              <w:autoSpaceDN/>
              <w:bidi w:val="0"/>
              <w:adjustRightInd/>
              <w:snapToGrid/>
              <w:spacing w:line="340" w:lineRule="atLeast"/>
              <w:ind w:firstLine="480" w:firstLineChars="200"/>
              <w:textAlignment w:val="auto"/>
              <w:rPr>
                <w:rFonts w:ascii="楷体" w:hAnsi="楷体" w:eastAsia="楷体" w:cs="楷体"/>
                <w:kern w:val="0"/>
                <w:sz w:val="24"/>
                <w:szCs w:val="24"/>
              </w:rPr>
            </w:pPr>
            <w:r>
              <w:rPr>
                <w:rFonts w:hint="eastAsia" w:ascii="仿宋" w:hAnsi="仿宋" w:eastAsia="仿宋" w:cs="仿宋"/>
                <w:sz w:val="24"/>
                <w:lang w:val="en-US" w:eastAsia="zh-CN"/>
              </w:rPr>
              <w:t>苏畅：2022年10月“中教杯”二等奖。</w:t>
            </w: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keepNext w:val="0"/>
              <w:keepLines w:val="0"/>
              <w:pageBreakBefore w:val="0"/>
              <w:widowControl w:val="0"/>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lang w:eastAsia="zh-CN"/>
              </w:rPr>
            </w:pPr>
            <w:r>
              <w:rPr>
                <w:rFonts w:hint="eastAsia" w:ascii="仿宋" w:hAnsi="仿宋" w:eastAsia="仿宋" w:cs="仿宋"/>
                <w:sz w:val="24"/>
              </w:rPr>
              <w:t>立足于应用型本科的培养要求，注重在教学过程中“以学生为中心”，从教师职业</w:t>
            </w:r>
            <w:r>
              <w:rPr>
                <w:rFonts w:ascii="仿宋" w:hAnsi="仿宋" w:eastAsia="仿宋" w:cs="仿宋"/>
                <w:sz w:val="24"/>
              </w:rPr>
              <w:t>道德</w:t>
            </w:r>
            <w:r>
              <w:rPr>
                <w:rFonts w:hint="eastAsia" w:ascii="仿宋" w:hAnsi="仿宋" w:eastAsia="仿宋" w:cs="仿宋"/>
                <w:sz w:val="24"/>
              </w:rPr>
              <w:t>课程的特点出发，通过构建“</w:t>
            </w:r>
            <w:r>
              <w:rPr>
                <w:rFonts w:hint="eastAsia" w:ascii="仿宋" w:hAnsi="仿宋" w:eastAsia="仿宋" w:cs="仿宋"/>
                <w:sz w:val="24"/>
                <w:lang w:val="en-US" w:eastAsia="zh-CN"/>
              </w:rPr>
              <w:t>三</w:t>
            </w:r>
            <w:r>
              <w:rPr>
                <w:rFonts w:hint="eastAsia" w:ascii="仿宋" w:hAnsi="仿宋" w:eastAsia="仿宋" w:cs="仿宋"/>
                <w:sz w:val="24"/>
              </w:rPr>
              <w:t>维”并重的教学培养目标，全面展开培养学生的综合能力</w:t>
            </w:r>
            <w:r>
              <w:rPr>
                <w:rFonts w:hint="eastAsia" w:ascii="仿宋" w:hAnsi="仿宋" w:eastAsia="仿宋" w:cs="仿宋"/>
                <w:sz w:val="24"/>
                <w:lang w:eastAsia="zh-CN"/>
              </w:rPr>
              <w:t>。</w:t>
            </w:r>
          </w:p>
          <w:p>
            <w:pPr>
              <w:keepNext w:val="0"/>
              <w:keepLines w:val="0"/>
              <w:pageBreakBefore w:val="0"/>
              <w:widowControl w:val="0"/>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知识目标：以小组合作的学习形式开展学习</w:t>
            </w:r>
            <w:r>
              <w:rPr>
                <w:rFonts w:hint="eastAsia" w:ascii="仿宋" w:hAnsi="仿宋" w:eastAsia="仿宋" w:cs="仿宋"/>
                <w:sz w:val="24"/>
                <w:highlight w:val="none"/>
                <w:lang w:eastAsia="zh-CN"/>
              </w:rPr>
              <w:t>，</w:t>
            </w:r>
            <w:r>
              <w:rPr>
                <w:rFonts w:hint="eastAsia" w:ascii="仿宋" w:hAnsi="仿宋" w:eastAsia="仿宋" w:cs="仿宋"/>
                <w:sz w:val="24"/>
                <w:highlight w:val="none"/>
              </w:rPr>
              <w:t>认识、理解师德的原则和规范要求，引导学习者践行师德的方法</w:t>
            </w:r>
            <w:r>
              <w:rPr>
                <w:rFonts w:hint="eastAsia" w:ascii="仿宋" w:hAnsi="仿宋" w:eastAsia="仿宋" w:cs="仿宋"/>
                <w:sz w:val="24"/>
                <w:highlight w:val="none"/>
                <w:lang w:eastAsia="zh-CN"/>
              </w:rPr>
              <w:t>；</w:t>
            </w:r>
            <w:r>
              <w:rPr>
                <w:rFonts w:hint="eastAsia" w:ascii="仿宋" w:hAnsi="仿宋" w:eastAsia="仿宋" w:cs="仿宋"/>
                <w:sz w:val="24"/>
                <w:highlight w:val="none"/>
              </w:rPr>
              <w:t>掌握爱岗就业、依法执教、关爱学生、教书育人、为人师表、终身学习、师德修养的理论知识</w:t>
            </w:r>
            <w:r>
              <w:rPr>
                <w:rFonts w:hint="eastAsia" w:ascii="仿宋" w:hAnsi="仿宋" w:eastAsia="仿宋" w:cs="仿宋"/>
                <w:sz w:val="24"/>
                <w:highlight w:val="none"/>
                <w:lang w:eastAsia="zh-CN"/>
              </w:rPr>
              <w:t>；</w:t>
            </w:r>
            <w:r>
              <w:rPr>
                <w:rFonts w:hint="eastAsia" w:ascii="仿宋" w:hAnsi="仿宋" w:eastAsia="仿宋" w:cs="仿宋"/>
                <w:sz w:val="24"/>
                <w:highlight w:val="none"/>
              </w:rPr>
              <w:t>了解中小学教师职业道德标准</w:t>
            </w:r>
            <w:r>
              <w:rPr>
                <w:rFonts w:hint="eastAsia" w:ascii="仿宋" w:hAnsi="仿宋" w:eastAsia="仿宋" w:cs="仿宋"/>
                <w:sz w:val="24"/>
                <w:highlight w:val="none"/>
                <w:lang w:eastAsia="zh-CN"/>
              </w:rPr>
              <w:t>。</w:t>
            </w:r>
            <w:r>
              <w:rPr>
                <w:rFonts w:hint="eastAsia" w:ascii="仿宋" w:hAnsi="仿宋" w:eastAsia="仿宋" w:cs="仿宋"/>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rPr>
            </w:pPr>
            <w:r>
              <w:rPr>
                <w:rFonts w:hint="eastAsia" w:ascii="仿宋" w:hAnsi="仿宋" w:eastAsia="仿宋" w:cs="仿宋"/>
                <w:sz w:val="24"/>
              </w:rPr>
              <w:t>技能目标：树立德育为先理念</w:t>
            </w:r>
            <w:r>
              <w:rPr>
                <w:rFonts w:hint="eastAsia" w:ascii="仿宋" w:hAnsi="仿宋" w:eastAsia="仿宋" w:cs="仿宋"/>
                <w:sz w:val="24"/>
                <w:lang w:eastAsia="zh-CN"/>
              </w:rPr>
              <w:t>，</w:t>
            </w:r>
            <w:r>
              <w:rPr>
                <w:rFonts w:hint="eastAsia" w:ascii="仿宋" w:hAnsi="仿宋" w:eastAsia="仿宋" w:cs="仿宋"/>
                <w:sz w:val="24"/>
                <w:lang w:val="en-US" w:eastAsia="zh-CN"/>
              </w:rPr>
              <w:t>使学生了解教师职业道德的原则，具备师德践行能力</w:t>
            </w:r>
            <w:r>
              <w:rPr>
                <w:rFonts w:hint="eastAsia" w:ascii="仿宋" w:hAnsi="仿宋" w:eastAsia="仿宋" w:cs="仿宋"/>
                <w:sz w:val="24"/>
                <w:lang w:eastAsia="zh-CN"/>
              </w:rPr>
              <w:t>，</w:t>
            </w:r>
            <w:r>
              <w:rPr>
                <w:rFonts w:hint="eastAsia" w:ascii="仿宋" w:hAnsi="仿宋" w:eastAsia="仿宋" w:cs="仿宋"/>
                <w:sz w:val="24"/>
                <w:lang w:val="en-US" w:eastAsia="zh-CN"/>
              </w:rPr>
              <w:t>掌握教师教学、学校管理道德问题的处理能力以及教是职业道德评价的能力。</w:t>
            </w:r>
          </w:p>
          <w:p>
            <w:pPr>
              <w:keepNext w:val="0"/>
              <w:keepLines w:val="0"/>
              <w:pageBreakBefore w:val="0"/>
              <w:widowControl w:val="0"/>
              <w:kinsoku/>
              <w:wordWrap/>
              <w:overflowPunct/>
              <w:topLinePunct w:val="0"/>
              <w:autoSpaceDE/>
              <w:autoSpaceDN/>
              <w:bidi w:val="0"/>
              <w:adjustRightInd/>
              <w:snapToGrid/>
              <w:spacing w:line="340" w:lineRule="atLeast"/>
              <w:ind w:firstLine="480" w:firstLineChars="200"/>
              <w:textAlignment w:val="auto"/>
              <w:rPr>
                <w:rFonts w:hint="eastAsia" w:ascii="仿宋" w:hAnsi="仿宋" w:eastAsia="仿宋" w:cs="仿宋"/>
                <w:sz w:val="24"/>
              </w:rPr>
            </w:pPr>
            <w:r>
              <w:rPr>
                <w:rFonts w:hint="eastAsia" w:ascii="仿宋" w:hAnsi="仿宋" w:eastAsia="仿宋" w:cs="仿宋"/>
                <w:sz w:val="24"/>
              </w:rPr>
              <w:t>情感目标：通过</w:t>
            </w:r>
            <w:r>
              <w:rPr>
                <w:rFonts w:hint="eastAsia" w:ascii="仿宋" w:hAnsi="仿宋" w:eastAsia="仿宋" w:cs="仿宋"/>
                <w:sz w:val="24"/>
                <w:lang w:val="en-US" w:eastAsia="zh-CN"/>
              </w:rPr>
              <w:t>课程</w:t>
            </w:r>
            <w:r>
              <w:rPr>
                <w:rFonts w:hint="eastAsia" w:ascii="仿宋" w:hAnsi="仿宋" w:eastAsia="仿宋" w:cs="仿宋"/>
                <w:sz w:val="24"/>
              </w:rPr>
              <w:t>的教学，使学生自觉增强立德树人、教书育人的荣誉感和责任感，学为人师，行为世范，培养学生爱心、责任心、热情、严谨态度以及职业认同、用心从教、自身修养、家国情怀的价值观且在工作中应用，做学生锤炼品格、学习知识、创新思维、奉献祖国的引路人。</w:t>
            </w:r>
          </w:p>
          <w:p>
            <w:pPr>
              <w:keepNext w:val="0"/>
              <w:keepLines w:val="0"/>
              <w:pageBreakBefore w:val="0"/>
              <w:widowControl w:val="0"/>
              <w:kinsoku/>
              <w:wordWrap/>
              <w:overflowPunct/>
              <w:topLinePunct w:val="0"/>
              <w:autoSpaceDE/>
              <w:autoSpaceDN/>
              <w:bidi w:val="0"/>
              <w:adjustRightInd/>
              <w:snapToGrid/>
              <w:spacing w:line="340" w:lineRule="atLeast"/>
              <w:ind w:firstLine="420" w:firstLineChars="200"/>
              <w:textAlignment w:val="auto"/>
              <w:rPr>
                <w:rFonts w:hint="eastAsia" w:ascii="仿宋" w:hAnsi="仿宋" w:eastAsia="仿宋" w:cs="仿宋"/>
                <w:sz w:val="24"/>
                <w:lang w:eastAsia="zh-CN"/>
              </w:rPr>
            </w:pPr>
            <w:r>
              <w:drawing>
                <wp:anchor distT="0" distB="0" distL="114300" distR="114300" simplePos="0" relativeHeight="251663360" behindDoc="0" locked="0" layoutInCell="1" allowOverlap="1">
                  <wp:simplePos x="0" y="0"/>
                  <wp:positionH relativeFrom="column">
                    <wp:posOffset>307975</wp:posOffset>
                  </wp:positionH>
                  <wp:positionV relativeFrom="paragraph">
                    <wp:posOffset>33655</wp:posOffset>
                  </wp:positionV>
                  <wp:extent cx="4532630" cy="1549400"/>
                  <wp:effectExtent l="0" t="0" r="1270" b="0"/>
                  <wp:wrapSquare wrapText="bothSides"/>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7"/>
                          <a:stretch>
                            <a:fillRect/>
                          </a:stretch>
                        </pic:blipFill>
                        <pic:spPr>
                          <a:xfrm>
                            <a:off x="0" y="0"/>
                            <a:ext cx="4532630" cy="1549400"/>
                          </a:xfrm>
                          <a:prstGeom prst="rect">
                            <a:avLst/>
                          </a:prstGeom>
                          <a:noFill/>
                          <a:ln>
                            <a:noFill/>
                          </a:ln>
                        </pic:spPr>
                      </pic:pic>
                    </a:graphicData>
                  </a:graphic>
                </wp:anchor>
              </w:drawing>
            </w:r>
          </w:p>
          <w:p>
            <w:pPr>
              <w:spacing w:line="340" w:lineRule="atLeast"/>
              <w:rPr>
                <w:rFonts w:hint="default" w:ascii="仿宋_GB2312" w:hAnsi="仿宋_GB2312" w:eastAsia="仿宋_GB2312" w:cs="仿宋_GB2312"/>
                <w:kern w:val="0"/>
                <w:sz w:val="24"/>
                <w:szCs w:val="24"/>
                <w:lang w:val="en-US" w:eastAsia="zh-CN"/>
              </w:rPr>
            </w:pPr>
          </w:p>
          <w:p>
            <w:pPr>
              <w:spacing w:line="340" w:lineRule="atLeast"/>
              <w:rPr>
                <w:rFonts w:ascii="仿宋_GB2312" w:hAnsi="仿宋_GB2312" w:eastAsia="仿宋_GB2312" w:cs="仿宋_GB2312"/>
                <w:kern w:val="0"/>
                <w:sz w:val="24"/>
                <w:szCs w:val="24"/>
              </w:rPr>
            </w:pPr>
          </w:p>
          <w:p>
            <w:pPr>
              <w:spacing w:line="340" w:lineRule="atLeast"/>
              <w:rPr>
                <w:rFonts w:hint="eastAsia" w:ascii="仿宋_GB2312" w:hAnsi="仿宋_GB2312" w:eastAsia="仿宋_GB2312" w:cs="仿宋_GB2312"/>
                <w:kern w:val="0"/>
                <w:sz w:val="24"/>
                <w:szCs w:val="24"/>
                <w:lang w:eastAsia="zh-CN"/>
              </w:rPr>
            </w:pPr>
          </w:p>
          <w:p>
            <w:pPr>
              <w:spacing w:line="340" w:lineRule="atLeast"/>
              <w:rPr>
                <w:rFonts w:hint="eastAsia" w:ascii="仿宋_GB2312" w:hAnsi="仿宋_GB2312" w:eastAsia="仿宋_GB2312" w:cs="仿宋_GB2312"/>
                <w:kern w:val="0"/>
                <w:sz w:val="24"/>
                <w:szCs w:val="24"/>
                <w:lang w:eastAsia="zh-CN"/>
              </w:rPr>
            </w:pPr>
          </w:p>
          <w:p>
            <w:pPr>
              <w:spacing w:line="340" w:lineRule="atLeast"/>
              <w:rPr>
                <w:rFonts w:hint="eastAsia" w:ascii="仿宋_GB2312" w:hAnsi="仿宋_GB2312" w:eastAsia="仿宋_GB2312" w:cs="仿宋_GB2312"/>
                <w:kern w:val="0"/>
                <w:sz w:val="24"/>
                <w:szCs w:val="24"/>
                <w:lang w:eastAsia="zh-CN"/>
              </w:rPr>
            </w:pPr>
          </w:p>
          <w:p>
            <w:pPr>
              <w:spacing w:line="340" w:lineRule="atLeast"/>
              <w:rPr>
                <w:rFonts w:hint="eastAsia" w:ascii="仿宋_GB2312" w:hAnsi="仿宋_GB2312" w:eastAsia="仿宋_GB2312" w:cs="仿宋_GB2312"/>
                <w:kern w:val="0"/>
                <w:sz w:val="24"/>
                <w:szCs w:val="24"/>
                <w:lang w:eastAsia="zh-CN"/>
              </w:rPr>
            </w:pPr>
          </w:p>
          <w:p>
            <w:pPr>
              <w:spacing w:line="340" w:lineRule="atLeast"/>
              <w:rPr>
                <w:rFonts w:hint="eastAsia" w:ascii="仿宋_GB2312" w:hAnsi="仿宋_GB2312" w:eastAsia="仿宋_GB2312" w:cs="仿宋_GB2312"/>
                <w:kern w:val="0"/>
                <w:sz w:val="24"/>
                <w:szCs w:val="24"/>
                <w:lang w:eastAsia="zh-CN"/>
              </w:rPr>
            </w:pPr>
          </w:p>
          <w:p>
            <w:pPr>
              <w:spacing w:line="340" w:lineRule="atLeast"/>
              <w:ind w:firstLine="3373" w:firstLineChars="1600"/>
              <w:jc w:val="both"/>
              <w:rPr>
                <w:rFonts w:hint="default"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图1 课程目标</w:t>
            </w:r>
          </w:p>
          <w:p>
            <w:pPr>
              <w:spacing w:line="340" w:lineRule="atLeast"/>
              <w:rPr>
                <w:rFonts w:hint="eastAsia" w:ascii="仿宋_GB2312" w:hAnsi="仿宋_GB2312" w:eastAsia="仿宋_GB2312" w:cs="仿宋_GB2312"/>
                <w:kern w:val="0"/>
                <w:sz w:val="24"/>
                <w:szCs w:val="24"/>
                <w:lang w:eastAsia="zh-CN"/>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kern w:val="0"/>
                <w:sz w:val="24"/>
                <w:szCs w:val="24"/>
                <w:lang w:val="en-US" w:eastAsia="zh-CN"/>
              </w:rPr>
              <w:t xml:space="preserve">   </w:t>
            </w:r>
            <w:r>
              <w:rPr>
                <w:rFonts w:hint="eastAsia" w:ascii="仿宋_GB2312" w:hAnsi="仿宋_GB2312" w:eastAsia="仿宋_GB2312" w:cs="仿宋_GB2312"/>
                <w:b/>
                <w:bCs/>
                <w:kern w:val="0"/>
                <w:sz w:val="24"/>
                <w:szCs w:val="24"/>
                <w:lang w:val="en-US" w:eastAsia="zh-CN"/>
              </w:rPr>
              <w:t>（一）课程建设发展历程</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党的十八大以来，党中央从战略高度认识教师工作的极端重要性，提出了“党和国家事业发展需要一支宏大的师德高尚、业务精湛、结构合理、充满活力的高素质专业化教师队伍”的重要论断，深化了对新时代师德师风建设战略意义的科学认识。因此，作为培养未来小学教师的小学教育专业，我们更加注重培养学生的教师职业道德，将教师职业道德认知放在教师培养的第一步。</w:t>
            </w:r>
          </w:p>
          <w:p>
            <w:pPr>
              <w:spacing w:line="340" w:lineRule="atLeast"/>
              <w:ind w:firstLine="480" w:firstLineChars="20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本课程从2020年小学教育开始招生后开设，经历了三个周期，</w:t>
            </w:r>
            <w:r>
              <w:rPr>
                <w:rFonts w:hint="eastAsia" w:ascii="仿宋_GB2312" w:hAnsi="仿宋_GB2312" w:eastAsia="仿宋_GB2312" w:cs="仿宋_GB2312"/>
                <w:kern w:val="0"/>
                <w:sz w:val="24"/>
                <w:szCs w:val="24"/>
                <w:highlight w:val="none"/>
                <w:lang w:val="en-US" w:eastAsia="zh-CN"/>
              </w:rPr>
              <w:t>课程共计64学时，其中包括16学时理论、48学时实践，属于小学教育专业必修课。课程建设以成立的“践循师德”工作坊，创新六环思</w:t>
            </w:r>
            <w:r>
              <w:rPr>
                <w:rFonts w:hint="eastAsia" w:ascii="仿宋_GB2312" w:hAnsi="仿宋_GB2312" w:eastAsia="仿宋_GB2312" w:cs="仿宋_GB2312"/>
                <w:kern w:val="0"/>
                <w:sz w:val="24"/>
                <w:szCs w:val="24"/>
                <w:lang w:val="en-US" w:eastAsia="zh-CN"/>
              </w:rPr>
              <w:t>辨</w:t>
            </w:r>
            <w:r>
              <w:rPr>
                <w:rFonts w:hint="default"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lang w:val="en-US" w:eastAsia="zh-CN"/>
              </w:rPr>
              <w:t>主题教育+沉浸式实践”模式，让学生们参与多层次深度互动学习和实践，传承教师职业道德素养。具体课程教学模式如图2。</w:t>
            </w:r>
          </w:p>
          <w:p>
            <w:pPr>
              <w:spacing w:line="340" w:lineRule="atLeast"/>
              <w:ind w:firstLine="420" w:firstLineChars="200"/>
              <w:rPr>
                <w:rFonts w:hint="default" w:ascii="仿宋_GB2312" w:hAnsi="仿宋_GB2312" w:eastAsia="仿宋_GB2312" w:cs="仿宋_GB2312"/>
                <w:kern w:val="0"/>
                <w:sz w:val="24"/>
                <w:szCs w:val="24"/>
                <w:lang w:val="en-US" w:eastAsia="zh-CN"/>
              </w:rPr>
            </w:pPr>
            <w:r>
              <w:drawing>
                <wp:anchor distT="0" distB="0" distL="114300" distR="114300" simplePos="0" relativeHeight="251660288" behindDoc="0" locked="0" layoutInCell="1" allowOverlap="1">
                  <wp:simplePos x="0" y="0"/>
                  <wp:positionH relativeFrom="column">
                    <wp:posOffset>584835</wp:posOffset>
                  </wp:positionH>
                  <wp:positionV relativeFrom="paragraph">
                    <wp:posOffset>115570</wp:posOffset>
                  </wp:positionV>
                  <wp:extent cx="4369435" cy="3375025"/>
                  <wp:effectExtent l="0" t="0" r="0" b="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rcRect l="5311" r="3779" b="281"/>
                          <a:stretch>
                            <a:fillRect/>
                          </a:stretch>
                        </pic:blipFill>
                        <pic:spPr>
                          <a:xfrm>
                            <a:off x="0" y="0"/>
                            <a:ext cx="4369435" cy="3375025"/>
                          </a:xfrm>
                          <a:prstGeom prst="rect">
                            <a:avLst/>
                          </a:prstGeom>
                          <a:noFill/>
                          <a:ln>
                            <a:noFill/>
                          </a:ln>
                        </pic:spPr>
                      </pic:pic>
                    </a:graphicData>
                  </a:graphic>
                </wp:anchor>
              </w:drawing>
            </w: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rPr>
                <w:rFonts w:hint="eastAsia" w:ascii="仿宋_GB2312" w:hAnsi="仿宋_GB2312" w:eastAsia="仿宋_GB2312" w:cs="仿宋_GB2312"/>
                <w:kern w:val="0"/>
                <w:sz w:val="24"/>
                <w:szCs w:val="24"/>
                <w:lang w:val="en-US" w:eastAsia="zh-CN"/>
              </w:rPr>
            </w:pPr>
          </w:p>
          <w:p>
            <w:pPr>
              <w:spacing w:line="340" w:lineRule="atLeast"/>
              <w:ind w:firstLine="1687" w:firstLineChars="800"/>
              <w:rPr>
                <w:rFonts w:hint="eastAsia" w:ascii="仿宋_GB2312" w:hAnsi="仿宋_GB2312" w:eastAsia="仿宋_GB2312" w:cs="仿宋_GB2312"/>
                <w:b/>
                <w:bCs/>
                <w:kern w:val="0"/>
                <w:sz w:val="21"/>
                <w:szCs w:val="21"/>
                <w:lang w:val="en-US" w:eastAsia="zh-CN"/>
              </w:rPr>
            </w:pPr>
          </w:p>
          <w:p>
            <w:pPr>
              <w:spacing w:line="340" w:lineRule="atLeast"/>
              <w:ind w:firstLine="1687" w:firstLineChars="800"/>
              <w:rPr>
                <w:rFonts w:hint="default"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图2 六环思辩“主题教育+沉浸式实践”教学模式</w:t>
            </w:r>
          </w:p>
          <w:p>
            <w:pPr>
              <w:spacing w:line="340" w:lineRule="atLeast"/>
              <w:ind w:firstLine="240" w:firstLineChars="100"/>
              <w:rPr>
                <w:rFonts w:hint="eastAsia" w:ascii="仿宋_GB2312" w:hAnsi="仿宋_GB2312" w:eastAsia="仿宋_GB2312" w:cs="仿宋_GB2312"/>
                <w:kern w:val="0"/>
                <w:sz w:val="24"/>
                <w:szCs w:val="24"/>
                <w:lang w:val="en-US" w:eastAsia="zh-CN"/>
              </w:rPr>
            </w:pPr>
          </w:p>
          <w:p>
            <w:pPr>
              <w:spacing w:line="340" w:lineRule="atLeast"/>
              <w:ind w:firstLine="241" w:firstLineChars="100"/>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val="en-US" w:eastAsia="zh-CN"/>
              </w:rPr>
              <w:t>（二）课程与教学改革拟解决的重点问题</w:t>
            </w:r>
          </w:p>
          <w:p>
            <w:pPr>
              <w:numPr>
                <w:ilvl w:val="0"/>
                <w:numId w:val="0"/>
              </w:num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本课程实践性很强，在三年的探索和与实践中，本课程最需要解决与进行改革的重点问题：</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1.实现理论学习—践行师德—情感认同的良性闭环</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建立</w:t>
            </w:r>
            <w:r>
              <w:rPr>
                <w:rFonts w:hint="eastAsia" w:ascii="仿宋_GB2312" w:hAnsi="仿宋_GB2312" w:eastAsia="仿宋_GB2312" w:cs="仿宋_GB2312"/>
                <w:kern w:val="0"/>
                <w:sz w:val="24"/>
                <w:szCs w:val="24"/>
                <w:highlight w:val="none"/>
                <w:lang w:val="en-US" w:eastAsia="zh-CN"/>
              </w:rPr>
              <w:t>“践循师德”工作坊</w:t>
            </w:r>
            <w:r>
              <w:rPr>
                <w:rFonts w:hint="eastAsia" w:ascii="仿宋_GB2312" w:hAnsi="仿宋_GB2312" w:eastAsia="仿宋_GB2312" w:cs="仿宋_GB2312"/>
                <w:kern w:val="0"/>
                <w:sz w:val="24"/>
                <w:szCs w:val="24"/>
                <w:lang w:val="en-US" w:eastAsia="zh-CN"/>
              </w:rPr>
              <w:t>，每个工作坊确定一个主题，学生通过在不同主题工作坊轮换学习，掌握教师职业道德理论知识，通过分主题进行沉浸式实践升华学生对于教师职业的尊敬和热爱，培养学生良好的教师职业道德以及教师职业的认同感。</w:t>
            </w:r>
          </w:p>
          <w:p>
            <w:pPr>
              <w:tabs>
                <w:tab w:val="center" w:pos="4153"/>
              </w:tabs>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 岗课对接”、“赛教融合”</w:t>
            </w:r>
            <w:r>
              <w:rPr>
                <w:rFonts w:hint="eastAsia" w:ascii="仿宋_GB2312" w:hAnsi="仿宋_GB2312" w:eastAsia="仿宋_GB2312" w:cs="仿宋_GB2312"/>
                <w:kern w:val="0"/>
                <w:sz w:val="24"/>
                <w:szCs w:val="24"/>
                <w:lang w:val="en-US" w:eastAsia="zh-CN"/>
              </w:rPr>
              <w:tab/>
            </w:r>
            <w:r>
              <w:rPr>
                <w:rFonts w:hint="eastAsia" w:ascii="仿宋_GB2312" w:hAnsi="仿宋_GB2312" w:eastAsia="仿宋_GB2312" w:cs="仿宋_GB2312"/>
                <w:kern w:val="0"/>
                <w:sz w:val="24"/>
                <w:szCs w:val="24"/>
                <w:lang w:val="en-US" w:eastAsia="zh-CN"/>
              </w:rPr>
              <w:t>“课证融合”</w:t>
            </w:r>
          </w:p>
          <w:p>
            <w:pPr>
              <w:spacing w:line="340" w:lineRule="atLeast"/>
              <w:ind w:firstLine="480" w:firstLineChars="20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按照“ 反向设计、正向施工”的设计原理，教师应以终极目标（ 最终的学习结果）为出发点，进行逆向教学设计，实施教学活动，提出“ 岗课对接”措施，实现“赛教融合”和“赛教融合”，增强课程的应用性和应试性。</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3.实现多角度评价，过程和结果兼顾</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教师职业道德改变传统的重视结果考核的思路，采用过程考核与结果考核相结合、校内考核与校外考核相结合、课程考核与创新考核相结合的多元化课程评价体系。</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（三）课程内容与资源建设及应用情况</w:t>
            </w:r>
          </w:p>
          <w:p>
            <w:pPr>
              <w:spacing w:line="360" w:lineRule="auto"/>
              <w:ind w:firstLine="482" w:firstLineChars="200"/>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1.重构课程内容</w:t>
            </w:r>
          </w:p>
          <w:p>
            <w:pPr>
              <w:spacing w:line="340" w:lineRule="atLeast"/>
              <w:ind w:firstLine="480" w:firstLineChars="200"/>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val="en-US" w:eastAsia="zh-CN"/>
              </w:rPr>
              <w:t>课程设计上，</w:t>
            </w:r>
            <w:r>
              <w:rPr>
                <w:rFonts w:hint="eastAsia" w:ascii="仿宋_GB2312" w:hAnsi="仿宋_GB2312" w:eastAsia="仿宋_GB2312" w:cs="仿宋_GB2312"/>
                <w:kern w:val="0"/>
                <w:sz w:val="24"/>
                <w:szCs w:val="24"/>
                <w:lang w:eastAsia="zh-CN"/>
              </w:rPr>
              <w:t>重构课程内容，把传统的章节进行调整，</w:t>
            </w:r>
            <w:r>
              <w:rPr>
                <w:rFonts w:hint="eastAsia" w:ascii="仿宋_GB2312" w:hAnsi="仿宋_GB2312" w:eastAsia="仿宋_GB2312" w:cs="仿宋_GB2312"/>
                <w:kern w:val="0"/>
                <w:sz w:val="24"/>
                <w:szCs w:val="24"/>
                <w:lang w:val="en-US" w:eastAsia="zh-CN"/>
              </w:rPr>
              <w:t>将内容分为“红、橙、黄、绿 、蓝、紫”六</w:t>
            </w:r>
            <w:r>
              <w:rPr>
                <w:rFonts w:hint="eastAsia" w:ascii="仿宋_GB2312" w:hAnsi="仿宋_GB2312" w:eastAsia="仿宋_GB2312" w:cs="仿宋_GB2312"/>
                <w:kern w:val="0"/>
                <w:sz w:val="24"/>
                <w:szCs w:val="24"/>
                <w:lang w:eastAsia="zh-CN"/>
              </w:rPr>
              <w:t>大</w:t>
            </w:r>
            <w:r>
              <w:rPr>
                <w:rFonts w:hint="eastAsia" w:ascii="仿宋_GB2312" w:hAnsi="仿宋_GB2312" w:eastAsia="仿宋_GB2312" w:cs="仿宋_GB2312"/>
                <w:kern w:val="0"/>
                <w:sz w:val="24"/>
                <w:szCs w:val="24"/>
                <w:lang w:val="en-US" w:eastAsia="zh-CN"/>
              </w:rPr>
              <w:t>色彩主题</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lang w:val="en-US" w:eastAsia="zh-CN"/>
              </w:rPr>
              <w:t>不同色彩代表师德教育的不同主题内容，</w:t>
            </w:r>
            <w:r>
              <w:rPr>
                <w:rFonts w:hint="eastAsia" w:ascii="仿宋_GB2312" w:hAnsi="仿宋_GB2312" w:eastAsia="仿宋_GB2312" w:cs="仿宋_GB2312"/>
                <w:kern w:val="0"/>
                <w:sz w:val="24"/>
                <w:szCs w:val="24"/>
                <w:lang w:eastAsia="zh-CN"/>
              </w:rPr>
              <w:t>理论知识贯穿其中。</w:t>
            </w:r>
            <w:r>
              <w:rPr>
                <w:rFonts w:hint="eastAsia" w:ascii="仿宋_GB2312" w:hAnsi="仿宋_GB2312" w:eastAsia="仿宋_GB2312" w:cs="仿宋_GB2312"/>
                <w:kern w:val="0"/>
                <w:sz w:val="24"/>
                <w:szCs w:val="24"/>
                <w:lang w:val="en-US" w:eastAsia="zh-CN"/>
              </w:rPr>
              <w:t>主题学习通过“践循师德”工作坊进行轮环式学习，</w:t>
            </w:r>
            <w:r>
              <w:rPr>
                <w:rFonts w:hint="eastAsia" w:ascii="仿宋_GB2312" w:hAnsi="仿宋_GB2312" w:eastAsia="仿宋_GB2312" w:cs="仿宋_GB2312"/>
                <w:kern w:val="0"/>
                <w:sz w:val="24"/>
                <w:szCs w:val="24"/>
                <w:lang w:eastAsia="zh-CN"/>
              </w:rPr>
              <w:t>各项</w:t>
            </w:r>
            <w:r>
              <w:rPr>
                <w:rFonts w:hint="eastAsia" w:ascii="仿宋_GB2312" w:hAnsi="仿宋_GB2312" w:eastAsia="仿宋_GB2312" w:cs="仿宋_GB2312"/>
                <w:kern w:val="0"/>
                <w:sz w:val="24"/>
                <w:szCs w:val="24"/>
                <w:lang w:val="en-US" w:eastAsia="zh-CN"/>
              </w:rPr>
              <w:t>主题</w:t>
            </w:r>
            <w:r>
              <w:rPr>
                <w:rFonts w:hint="eastAsia" w:ascii="仿宋_GB2312" w:hAnsi="仿宋_GB2312" w:eastAsia="仿宋_GB2312" w:cs="仿宋_GB2312"/>
                <w:kern w:val="0"/>
                <w:sz w:val="24"/>
                <w:szCs w:val="24"/>
                <w:lang w:eastAsia="zh-CN"/>
              </w:rPr>
              <w:t>既是独立的知识单元，又能衔接，整体组成了知识脉络体系。</w:t>
            </w:r>
          </w:p>
          <w:p>
            <w:pPr>
              <w:spacing w:line="340" w:lineRule="atLeast"/>
              <w:ind w:firstLine="420" w:firstLineChars="200"/>
              <w:rPr>
                <w:rFonts w:hint="eastAsia" w:ascii="仿宋_GB2312" w:hAnsi="仿宋_GB2312" w:eastAsia="仿宋_GB2312" w:cs="仿宋_GB2312"/>
                <w:kern w:val="0"/>
                <w:sz w:val="24"/>
                <w:szCs w:val="24"/>
                <w:lang w:eastAsia="zh-CN"/>
              </w:rPr>
            </w:pPr>
            <w:r>
              <w:drawing>
                <wp:anchor distT="0" distB="0" distL="114300" distR="114300" simplePos="0" relativeHeight="251661312" behindDoc="0" locked="0" layoutInCell="1" allowOverlap="1">
                  <wp:simplePos x="0" y="0"/>
                  <wp:positionH relativeFrom="column">
                    <wp:posOffset>697865</wp:posOffset>
                  </wp:positionH>
                  <wp:positionV relativeFrom="paragraph">
                    <wp:posOffset>127635</wp:posOffset>
                  </wp:positionV>
                  <wp:extent cx="4064635" cy="3787775"/>
                  <wp:effectExtent l="0" t="0" r="2540" b="3175"/>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rcRect t="3447" r="784"/>
                          <a:stretch>
                            <a:fillRect/>
                          </a:stretch>
                        </pic:blipFill>
                        <pic:spPr>
                          <a:xfrm>
                            <a:off x="0" y="0"/>
                            <a:ext cx="4064635" cy="3787775"/>
                          </a:xfrm>
                          <a:prstGeom prst="rect">
                            <a:avLst/>
                          </a:prstGeom>
                          <a:noFill/>
                          <a:ln>
                            <a:noFill/>
                          </a:ln>
                        </pic:spPr>
                      </pic:pic>
                    </a:graphicData>
                  </a:graphic>
                </wp:anchor>
              </w:drawing>
            </w:r>
          </w:p>
          <w:p>
            <w:pPr>
              <w:spacing w:line="340" w:lineRule="atLeast"/>
              <w:ind w:firstLine="480" w:firstLineChars="200"/>
              <w:rPr>
                <w:rFonts w:hint="eastAsia" w:ascii="仿宋_GB2312" w:hAnsi="仿宋_GB2312" w:eastAsia="仿宋_GB2312" w:cs="仿宋_GB2312"/>
                <w:kern w:val="0"/>
                <w:sz w:val="24"/>
                <w:szCs w:val="24"/>
                <w:lang w:eastAsia="zh-CN"/>
              </w:rPr>
            </w:pPr>
          </w:p>
          <w:p>
            <w:pPr>
              <w:spacing w:line="340" w:lineRule="atLeast"/>
              <w:ind w:firstLine="480" w:firstLineChars="200"/>
              <w:rPr>
                <w:rFonts w:hint="eastAsia" w:ascii="仿宋_GB2312" w:hAnsi="仿宋_GB2312" w:eastAsia="仿宋_GB2312" w:cs="仿宋_GB2312"/>
                <w:kern w:val="0"/>
                <w:sz w:val="24"/>
                <w:szCs w:val="24"/>
                <w:lang w:eastAsia="zh-CN"/>
              </w:rPr>
            </w:pPr>
          </w:p>
          <w:p>
            <w:pPr>
              <w:spacing w:line="340" w:lineRule="atLeast"/>
              <w:ind w:firstLine="480" w:firstLineChars="200"/>
              <w:rPr>
                <w:rFonts w:hint="eastAsia" w:ascii="仿宋_GB2312" w:hAnsi="仿宋_GB2312" w:eastAsia="仿宋_GB2312" w:cs="仿宋_GB2312"/>
                <w:kern w:val="0"/>
                <w:sz w:val="24"/>
                <w:szCs w:val="24"/>
                <w:lang w:eastAsia="zh-CN"/>
              </w:rPr>
            </w:pPr>
          </w:p>
          <w:p>
            <w:pPr>
              <w:spacing w:line="340" w:lineRule="atLeast"/>
              <w:ind w:firstLine="480" w:firstLineChars="200"/>
              <w:rPr>
                <w:rFonts w:hint="eastAsia" w:ascii="仿宋_GB2312" w:hAnsi="仿宋_GB2312" w:eastAsia="仿宋_GB2312" w:cs="仿宋_GB2312"/>
                <w:kern w:val="0"/>
                <w:sz w:val="24"/>
                <w:szCs w:val="24"/>
                <w:lang w:eastAsia="zh-CN"/>
              </w:rPr>
            </w:pPr>
          </w:p>
          <w:p>
            <w:pPr>
              <w:spacing w:line="340" w:lineRule="atLeast"/>
              <w:ind w:firstLine="480" w:firstLineChars="200"/>
              <w:rPr>
                <w:rFonts w:hint="eastAsia" w:ascii="仿宋_GB2312" w:hAnsi="仿宋_GB2312" w:eastAsia="仿宋_GB2312" w:cs="仿宋_GB2312"/>
                <w:kern w:val="0"/>
                <w:sz w:val="24"/>
                <w:szCs w:val="24"/>
                <w:lang w:eastAsia="zh-CN"/>
              </w:rPr>
            </w:pPr>
          </w:p>
          <w:p>
            <w:pPr>
              <w:spacing w:line="340" w:lineRule="atLeast"/>
              <w:ind w:firstLine="480" w:firstLineChars="200"/>
              <w:rPr>
                <w:rFonts w:hint="eastAsia" w:ascii="仿宋_GB2312" w:hAnsi="仿宋_GB2312" w:eastAsia="仿宋_GB2312" w:cs="仿宋_GB2312"/>
                <w:kern w:val="0"/>
                <w:sz w:val="24"/>
                <w:szCs w:val="24"/>
                <w:lang w:eastAsia="zh-CN"/>
              </w:rPr>
            </w:pPr>
          </w:p>
          <w:p>
            <w:pPr>
              <w:spacing w:line="340" w:lineRule="atLeast"/>
              <w:ind w:firstLine="480" w:firstLineChars="200"/>
              <w:rPr>
                <w:rFonts w:hint="eastAsia" w:ascii="仿宋_GB2312" w:hAnsi="仿宋_GB2312" w:eastAsia="仿宋_GB2312" w:cs="仿宋_GB2312"/>
                <w:kern w:val="0"/>
                <w:sz w:val="24"/>
                <w:szCs w:val="24"/>
                <w:lang w:eastAsia="zh-CN"/>
              </w:rPr>
            </w:pPr>
          </w:p>
          <w:p>
            <w:pPr>
              <w:spacing w:line="340" w:lineRule="atLeast"/>
              <w:ind w:firstLine="480" w:firstLineChars="200"/>
              <w:rPr>
                <w:rFonts w:hint="eastAsia" w:ascii="仿宋_GB2312" w:hAnsi="仿宋_GB2312" w:eastAsia="仿宋_GB2312" w:cs="仿宋_GB2312"/>
                <w:kern w:val="0"/>
                <w:sz w:val="24"/>
                <w:szCs w:val="24"/>
                <w:lang w:eastAsia="zh-CN"/>
              </w:rPr>
            </w:pPr>
          </w:p>
          <w:p>
            <w:pPr>
              <w:spacing w:line="340" w:lineRule="atLeast"/>
              <w:ind w:firstLine="480" w:firstLineChars="200"/>
              <w:rPr>
                <w:rFonts w:hint="eastAsia" w:ascii="仿宋_GB2312" w:hAnsi="仿宋_GB2312" w:eastAsia="仿宋_GB2312" w:cs="仿宋_GB2312"/>
                <w:kern w:val="0"/>
                <w:sz w:val="24"/>
                <w:szCs w:val="24"/>
                <w:lang w:eastAsia="zh-CN"/>
              </w:rPr>
            </w:pPr>
          </w:p>
          <w:p>
            <w:pPr>
              <w:spacing w:line="340" w:lineRule="atLeast"/>
              <w:ind w:firstLine="480" w:firstLineChars="200"/>
              <w:rPr>
                <w:rFonts w:hint="eastAsia" w:ascii="仿宋_GB2312" w:hAnsi="仿宋_GB2312" w:eastAsia="仿宋_GB2312" w:cs="仿宋_GB2312"/>
                <w:kern w:val="0"/>
                <w:sz w:val="24"/>
                <w:szCs w:val="24"/>
              </w:rPr>
            </w:pPr>
          </w:p>
          <w:p>
            <w:pPr>
              <w:spacing w:line="340" w:lineRule="atLeast"/>
              <w:ind w:firstLine="480" w:firstLineChars="200"/>
              <w:rPr>
                <w:rFonts w:hint="eastAsia" w:ascii="仿宋_GB2312" w:hAnsi="仿宋_GB2312" w:eastAsia="仿宋_GB2312" w:cs="仿宋_GB2312"/>
                <w:kern w:val="0"/>
                <w:sz w:val="24"/>
                <w:szCs w:val="24"/>
              </w:rPr>
            </w:pPr>
          </w:p>
          <w:p>
            <w:pPr>
              <w:spacing w:line="340" w:lineRule="atLeast"/>
              <w:ind w:firstLine="480" w:firstLineChars="200"/>
              <w:rPr>
                <w:rFonts w:hint="eastAsia" w:ascii="仿宋_GB2312" w:hAnsi="仿宋_GB2312" w:eastAsia="仿宋_GB2312" w:cs="仿宋_GB2312"/>
                <w:kern w:val="0"/>
                <w:sz w:val="24"/>
                <w:szCs w:val="24"/>
              </w:rPr>
            </w:pPr>
          </w:p>
          <w:p>
            <w:pPr>
              <w:spacing w:line="340" w:lineRule="atLeast"/>
              <w:ind w:firstLine="480" w:firstLineChars="200"/>
              <w:rPr>
                <w:rFonts w:hint="eastAsia" w:ascii="仿宋_GB2312" w:hAnsi="仿宋_GB2312" w:eastAsia="仿宋_GB2312" w:cs="仿宋_GB2312"/>
                <w:kern w:val="0"/>
                <w:sz w:val="24"/>
                <w:szCs w:val="24"/>
              </w:rPr>
            </w:pPr>
          </w:p>
          <w:p>
            <w:pPr>
              <w:spacing w:line="340" w:lineRule="atLeast"/>
              <w:ind w:firstLine="480" w:firstLineChars="200"/>
              <w:rPr>
                <w:rFonts w:hint="eastAsia" w:ascii="仿宋_GB2312" w:hAnsi="仿宋_GB2312" w:eastAsia="仿宋_GB2312" w:cs="仿宋_GB2312"/>
                <w:kern w:val="0"/>
                <w:sz w:val="24"/>
                <w:szCs w:val="24"/>
              </w:rPr>
            </w:pPr>
          </w:p>
          <w:p>
            <w:pPr>
              <w:spacing w:line="340" w:lineRule="atLeast"/>
              <w:ind w:firstLine="480" w:firstLineChars="200"/>
              <w:rPr>
                <w:rFonts w:hint="eastAsia" w:ascii="仿宋_GB2312" w:hAnsi="仿宋_GB2312" w:eastAsia="仿宋_GB2312" w:cs="仿宋_GB2312"/>
                <w:kern w:val="0"/>
                <w:sz w:val="24"/>
                <w:szCs w:val="24"/>
              </w:rPr>
            </w:pPr>
          </w:p>
          <w:p>
            <w:pPr>
              <w:spacing w:line="340" w:lineRule="atLeast"/>
              <w:ind w:firstLine="480" w:firstLineChars="200"/>
              <w:rPr>
                <w:rFonts w:hint="eastAsia" w:ascii="仿宋_GB2312" w:hAnsi="仿宋_GB2312" w:eastAsia="仿宋_GB2312" w:cs="仿宋_GB2312"/>
                <w:kern w:val="0"/>
                <w:sz w:val="24"/>
                <w:szCs w:val="24"/>
              </w:rPr>
            </w:pPr>
          </w:p>
          <w:p>
            <w:pPr>
              <w:spacing w:line="340" w:lineRule="atLeast"/>
              <w:ind w:firstLine="480" w:firstLineChars="200"/>
              <w:rPr>
                <w:rFonts w:hint="eastAsia" w:ascii="仿宋_GB2312" w:hAnsi="仿宋_GB2312" w:eastAsia="仿宋_GB2312" w:cs="仿宋_GB2312"/>
                <w:kern w:val="0"/>
                <w:sz w:val="24"/>
                <w:szCs w:val="24"/>
              </w:rPr>
            </w:pPr>
          </w:p>
          <w:p>
            <w:pPr>
              <w:spacing w:line="340" w:lineRule="atLeast"/>
              <w:ind w:firstLine="3162" w:firstLineChars="1500"/>
              <w:rPr>
                <w:rFonts w:hint="default"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t>图3 重构课程内容</w:t>
            </w:r>
          </w:p>
          <w:p>
            <w:pPr>
              <w:spacing w:line="340" w:lineRule="atLeast"/>
              <w:ind w:firstLine="482"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b/>
                <w:kern w:val="0"/>
                <w:sz w:val="24"/>
                <w:szCs w:val="24"/>
              </w:rPr>
              <w:t>2.资源建设及应用情况</w:t>
            </w:r>
          </w:p>
          <w:p>
            <w:pPr>
              <w:spacing w:line="340" w:lineRule="atLeast"/>
              <w:ind w:firstLine="480" w:firstLineChars="20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eastAsia="zh-CN"/>
              </w:rPr>
              <w:t>（1）教材的选用：</w:t>
            </w:r>
            <w:r>
              <w:rPr>
                <w:rFonts w:hint="eastAsia" w:ascii="仿宋_GB2312" w:hAnsi="仿宋_GB2312" w:eastAsia="仿宋_GB2312" w:cs="仿宋_GB2312"/>
                <w:kern w:val="0"/>
                <w:sz w:val="24"/>
                <w:szCs w:val="24"/>
                <w:lang w:val="en-US" w:eastAsia="zh-CN"/>
              </w:rPr>
              <w:t>选用</w:t>
            </w:r>
            <w:r>
              <w:rPr>
                <w:rFonts w:hint="eastAsia" w:ascii="仿宋_GB2312" w:hAnsi="仿宋_GB2312" w:eastAsia="仿宋_GB2312" w:cs="仿宋_GB2312"/>
                <w:kern w:val="0"/>
                <w:sz w:val="24"/>
                <w:szCs w:val="24"/>
                <w:lang w:eastAsia="zh-CN"/>
              </w:rPr>
              <w:t>教材</w:t>
            </w:r>
            <w:r>
              <w:rPr>
                <w:rFonts w:hint="eastAsia" w:ascii="仿宋_GB2312" w:hAnsi="仿宋_GB2312" w:eastAsia="仿宋_GB2312" w:cs="仿宋_GB2312"/>
                <w:kern w:val="0"/>
                <w:sz w:val="24"/>
                <w:szCs w:val="24"/>
                <w:lang w:val="en-US" w:eastAsia="zh-CN"/>
              </w:rPr>
              <w:t>华东师范大学出版社钱焕琦的</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lang w:val="en-US" w:eastAsia="zh-CN"/>
              </w:rPr>
              <w:t>教师职业道德</w:t>
            </w:r>
            <w:r>
              <w:rPr>
                <w:rFonts w:hint="eastAsia" w:ascii="仿宋_GB2312" w:hAnsi="仿宋_GB2312" w:eastAsia="仿宋_GB2312" w:cs="仿宋_GB2312"/>
                <w:kern w:val="0"/>
                <w:sz w:val="24"/>
                <w:szCs w:val="24"/>
                <w:lang w:eastAsia="zh-CN"/>
              </w:rPr>
              <w:t>》，课程体系项目化，课程内容模块化，利用二维码功能，学生可查寻与学习辅助</w:t>
            </w:r>
            <w:r>
              <w:rPr>
                <w:rFonts w:hint="eastAsia" w:ascii="仿宋_GB2312" w:hAnsi="仿宋_GB2312" w:eastAsia="仿宋_GB2312" w:cs="仿宋_GB2312"/>
                <w:kern w:val="0"/>
                <w:sz w:val="24"/>
                <w:szCs w:val="24"/>
                <w:lang w:val="en-US" w:eastAsia="zh-CN"/>
              </w:rPr>
              <w:t>拓展</w:t>
            </w:r>
            <w:r>
              <w:rPr>
                <w:rFonts w:hint="eastAsia" w:ascii="仿宋_GB2312" w:hAnsi="仿宋_GB2312" w:eastAsia="仿宋_GB2312" w:cs="仿宋_GB2312"/>
                <w:kern w:val="0"/>
                <w:sz w:val="24"/>
                <w:szCs w:val="24"/>
                <w:lang w:eastAsia="zh-CN"/>
              </w:rPr>
              <w:t>资料，更加适合应用型人才的培养目标与定位；（2）实践性教学环境：实验室教学：为配合该课程学习，建立了</w:t>
            </w:r>
            <w:r>
              <w:rPr>
                <w:rFonts w:hint="eastAsia" w:ascii="仿宋_GB2312" w:hAnsi="仿宋_GB2312" w:eastAsia="仿宋_GB2312" w:cs="仿宋_GB2312"/>
                <w:kern w:val="0"/>
                <w:sz w:val="24"/>
                <w:szCs w:val="24"/>
                <w:lang w:val="en-US" w:eastAsia="zh-CN"/>
              </w:rPr>
              <w:t>微格实验室、教师礼仪实验室、普通话教学实验室、“践循师德”工作坊、手工创意实验室</w:t>
            </w:r>
            <w:r>
              <w:rPr>
                <w:rFonts w:hint="eastAsia" w:ascii="仿宋_GB2312" w:hAnsi="仿宋_GB2312" w:eastAsia="仿宋_GB2312" w:cs="仿宋_GB2312"/>
                <w:kern w:val="0"/>
                <w:sz w:val="24"/>
                <w:szCs w:val="24"/>
                <w:lang w:eastAsia="zh-CN"/>
              </w:rPr>
              <w:t>；实习基地建设：课程组先后与保定多家</w:t>
            </w:r>
            <w:r>
              <w:rPr>
                <w:rFonts w:hint="eastAsia" w:ascii="仿宋_GB2312" w:hAnsi="仿宋_GB2312" w:eastAsia="仿宋_GB2312" w:cs="仿宋_GB2312"/>
                <w:kern w:val="0"/>
                <w:sz w:val="24"/>
                <w:szCs w:val="24"/>
                <w:lang w:val="en-US" w:eastAsia="zh-CN"/>
              </w:rPr>
              <w:t>地方特色文化教育基地留法勤工俭学运动纪念馆、莲池书院、保定军校纪念馆、淮军公所建立教育实习基地，</w:t>
            </w:r>
            <w:r>
              <w:rPr>
                <w:rFonts w:hint="eastAsia" w:ascii="仿宋_GB2312" w:hAnsi="仿宋_GB2312" w:eastAsia="仿宋_GB2312" w:cs="仿宋_GB2312"/>
                <w:kern w:val="0"/>
                <w:sz w:val="24"/>
                <w:szCs w:val="24"/>
                <w:lang w:eastAsia="zh-CN"/>
              </w:rPr>
              <w:t>方便学生进行课程实践与社会实践；课程实践环节：在实践环节始终坚持“</w:t>
            </w:r>
            <w:r>
              <w:rPr>
                <w:rFonts w:hint="eastAsia" w:ascii="仿宋_GB2312" w:hAnsi="仿宋_GB2312" w:eastAsia="仿宋_GB2312" w:cs="仿宋_GB2312"/>
                <w:kern w:val="0"/>
                <w:sz w:val="24"/>
                <w:szCs w:val="24"/>
                <w:lang w:val="en-US" w:eastAsia="zh-CN"/>
              </w:rPr>
              <w:t>沉浸式实践</w:t>
            </w:r>
            <w:r>
              <w:rPr>
                <w:rFonts w:hint="eastAsia" w:ascii="仿宋_GB2312" w:hAnsi="仿宋_GB2312" w:eastAsia="仿宋_GB2312" w:cs="仿宋_GB2312"/>
                <w:kern w:val="0"/>
                <w:sz w:val="24"/>
                <w:szCs w:val="24"/>
                <w:lang w:eastAsia="zh-CN"/>
              </w:rPr>
              <w:t>”，组织学生深入</w:t>
            </w:r>
            <w:r>
              <w:rPr>
                <w:rFonts w:hint="eastAsia" w:ascii="仿宋_GB2312" w:hAnsi="仿宋_GB2312" w:eastAsia="仿宋_GB2312" w:cs="仿宋_GB2312"/>
                <w:kern w:val="0"/>
                <w:sz w:val="24"/>
                <w:szCs w:val="24"/>
                <w:lang w:val="en-US" w:eastAsia="zh-CN"/>
              </w:rPr>
              <w:t>实习</w:t>
            </w:r>
            <w:r>
              <w:rPr>
                <w:rFonts w:hint="eastAsia" w:ascii="仿宋_GB2312" w:hAnsi="仿宋_GB2312" w:eastAsia="仿宋_GB2312" w:cs="仿宋_GB2312"/>
                <w:kern w:val="0"/>
                <w:sz w:val="24"/>
                <w:szCs w:val="24"/>
                <w:lang w:eastAsia="zh-CN"/>
              </w:rPr>
              <w:t>开展有针对性地专题</w:t>
            </w:r>
            <w:r>
              <w:rPr>
                <w:rFonts w:hint="eastAsia" w:ascii="仿宋_GB2312" w:hAnsi="仿宋_GB2312" w:eastAsia="仿宋_GB2312" w:cs="仿宋_GB2312"/>
                <w:kern w:val="0"/>
                <w:sz w:val="24"/>
                <w:szCs w:val="24"/>
                <w:lang w:val="en-US" w:eastAsia="zh-CN"/>
              </w:rPr>
              <w:t>参观、调研</w:t>
            </w:r>
            <w:r>
              <w:rPr>
                <w:rFonts w:hint="eastAsia" w:ascii="仿宋_GB2312" w:hAnsi="仿宋_GB2312" w:eastAsia="仿宋_GB2312" w:cs="仿宋_GB2312"/>
                <w:kern w:val="0"/>
                <w:sz w:val="24"/>
                <w:szCs w:val="24"/>
                <w:lang w:eastAsia="zh-CN"/>
              </w:rPr>
              <w:t>，撰写调研报告；鼓励学生参与教师课题、撰写论文。</w:t>
            </w:r>
            <w:r>
              <w:rPr>
                <w:rFonts w:hint="eastAsia" w:ascii="仿宋_GB2312" w:hAnsi="仿宋_GB2312" w:eastAsia="仿宋_GB2312" w:cs="仿宋_GB2312"/>
                <w:kern w:val="0"/>
                <w:sz w:val="24"/>
                <w:szCs w:val="24"/>
                <w:lang w:val="en-US" w:eastAsia="zh-CN"/>
              </w:rPr>
              <w:t>在实践活动中，主要围绕以下活动展开：</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第一，专家</w:t>
            </w:r>
            <w:r>
              <w:rPr>
                <w:rFonts w:hint="eastAsia" w:ascii="仿宋_GB2312" w:hAnsi="仿宋_GB2312" w:eastAsia="仿宋_GB2312" w:cs="仿宋_GB2312"/>
                <w:kern w:val="0"/>
                <w:sz w:val="24"/>
                <w:szCs w:val="24"/>
              </w:rPr>
              <w:t>专题讲座、报告</w:t>
            </w:r>
            <w:r>
              <w:rPr>
                <w:rFonts w:hint="eastAsia" w:ascii="仿宋_GB2312" w:hAnsi="仿宋_GB2312" w:eastAsia="仿宋_GB2312" w:cs="仿宋_GB2312"/>
                <w:kern w:val="0"/>
                <w:sz w:val="24"/>
                <w:szCs w:val="24"/>
                <w:lang w:val="en-US" w:eastAsia="zh-CN"/>
              </w:rPr>
              <w:t>及示范课</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聘请教育教学名家、小学一线高级教师</w:t>
            </w:r>
            <w:r>
              <w:rPr>
                <w:rFonts w:hint="eastAsia" w:ascii="仿宋_GB2312" w:hAnsi="仿宋_GB2312" w:eastAsia="仿宋_GB2312" w:cs="仿宋_GB2312"/>
                <w:kern w:val="0"/>
                <w:sz w:val="24"/>
                <w:szCs w:val="24"/>
              </w:rPr>
              <w:t>入校</w:t>
            </w:r>
            <w:r>
              <w:rPr>
                <w:rFonts w:hint="eastAsia" w:ascii="仿宋_GB2312" w:hAnsi="仿宋_GB2312" w:eastAsia="仿宋_GB2312" w:cs="仿宋_GB2312"/>
                <w:kern w:val="0"/>
                <w:sz w:val="24"/>
                <w:szCs w:val="24"/>
                <w:lang w:val="en-US" w:eastAsia="zh-CN"/>
              </w:rPr>
              <w:t>讲座</w:t>
            </w:r>
            <w:r>
              <w:rPr>
                <w:rFonts w:hint="eastAsia" w:ascii="仿宋_GB2312" w:hAnsi="仿宋_GB2312" w:eastAsia="仿宋_GB2312" w:cs="仿宋_GB2312"/>
                <w:kern w:val="0"/>
                <w:sz w:val="24"/>
                <w:szCs w:val="24"/>
              </w:rPr>
              <w:t>，通过进行“国家教育政策与法规解读”、“教师职业道德规范”、“教师职业规划与发展”等不同专题讲座，使学生们了解我国现行的教育政策方向，了解教师行业的职业生涯发展，进一步强化教师职业道德素养的形成。</w:t>
            </w:r>
            <w:r>
              <w:rPr>
                <w:rFonts w:hint="eastAsia" w:ascii="仿宋_GB2312" w:hAnsi="仿宋_GB2312" w:eastAsia="仿宋_GB2312" w:cs="仿宋_GB2312"/>
                <w:kern w:val="0"/>
                <w:sz w:val="24"/>
                <w:szCs w:val="24"/>
                <w:lang w:val="en-US" w:eastAsia="zh-CN"/>
              </w:rPr>
              <w:t>通过讲座让学生了解未来岗位对人才的能力要求，将来的就业方向以及今后专业学习的规划。</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第二，地方特色文化教育基地参观学习。教师职业道德认知也是整个实践教学体系中职业认知实习的过程，本课程实践环节通过多种形式展开，通过分组参观留法勤工俭学运动纪念馆、莲池书院、保定军校纪念馆等地对学生进行思想政治教育，进而将传统文化教育和地方特色文化教育的思想与理念，弘扬道德文化教育思想，将师德师风植入学生心中，塑造学生良好的道德修养和职业素养。</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第三，参加支教活动。通过前期的理论学习，使学生具备了一定的理论基础，鼓励</w:t>
            </w:r>
            <w:r>
              <w:rPr>
                <w:rFonts w:hint="eastAsia" w:ascii="仿宋_GB2312" w:hAnsi="仿宋_GB2312" w:eastAsia="仿宋_GB2312" w:cs="仿宋_GB2312"/>
                <w:kern w:val="0"/>
                <w:sz w:val="24"/>
                <w:szCs w:val="24"/>
              </w:rPr>
              <w:t>学生</w:t>
            </w:r>
            <w:r>
              <w:rPr>
                <w:rFonts w:hint="eastAsia" w:ascii="仿宋_GB2312" w:hAnsi="仿宋_GB2312" w:eastAsia="仿宋_GB2312" w:cs="仿宋_GB2312"/>
                <w:kern w:val="0"/>
                <w:sz w:val="24"/>
                <w:szCs w:val="24"/>
                <w:lang w:val="en-US" w:eastAsia="zh-CN"/>
              </w:rPr>
              <w:t>参加支教等实践活动</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分小组去保定周边郑家庄小学和阜平赵各庄小学等进行实践。</w:t>
            </w:r>
            <w:r>
              <w:rPr>
                <w:rFonts w:hint="eastAsia" w:ascii="仿宋_GB2312" w:hAnsi="仿宋_GB2312" w:eastAsia="仿宋_GB2312" w:cs="仿宋_GB2312"/>
                <w:kern w:val="0"/>
                <w:sz w:val="24"/>
                <w:szCs w:val="24"/>
              </w:rPr>
              <w:t>作为</w:t>
            </w:r>
            <w:r>
              <w:rPr>
                <w:rFonts w:hint="eastAsia" w:ascii="仿宋_GB2312" w:hAnsi="仿宋_GB2312" w:eastAsia="仿宋_GB2312" w:cs="仿宋_GB2312"/>
                <w:kern w:val="0"/>
                <w:sz w:val="24"/>
                <w:szCs w:val="24"/>
                <w:lang w:val="en-US" w:eastAsia="zh-CN"/>
              </w:rPr>
              <w:t>实际工作的</w:t>
            </w:r>
            <w:r>
              <w:rPr>
                <w:rFonts w:hint="eastAsia" w:ascii="仿宋_GB2312" w:hAnsi="仿宋_GB2312" w:eastAsia="仿宋_GB2312" w:cs="仿宋_GB2312"/>
                <w:kern w:val="0"/>
                <w:sz w:val="24"/>
                <w:szCs w:val="24"/>
              </w:rPr>
              <w:t>核心</w:t>
            </w:r>
            <w:r>
              <w:rPr>
                <w:rFonts w:hint="eastAsia" w:ascii="仿宋_GB2312" w:hAnsi="仿宋_GB2312" w:eastAsia="仿宋_GB2312" w:cs="仿宋_GB2312"/>
                <w:kern w:val="0"/>
                <w:sz w:val="24"/>
                <w:szCs w:val="24"/>
                <w:lang w:val="en-US" w:eastAsia="zh-CN"/>
              </w:rPr>
              <w:t>一员</w:t>
            </w:r>
            <w:r>
              <w:rPr>
                <w:rFonts w:hint="eastAsia" w:ascii="仿宋_GB2312" w:hAnsi="仿宋_GB2312" w:eastAsia="仿宋_GB2312" w:cs="仿宋_GB2312"/>
                <w:kern w:val="0"/>
                <w:sz w:val="24"/>
                <w:szCs w:val="24"/>
              </w:rPr>
              <w:t>参与到</w:t>
            </w:r>
            <w:r>
              <w:rPr>
                <w:rFonts w:hint="eastAsia" w:ascii="仿宋_GB2312" w:hAnsi="仿宋_GB2312" w:eastAsia="仿宋_GB2312" w:cs="仿宋_GB2312"/>
                <w:kern w:val="0"/>
                <w:sz w:val="24"/>
                <w:szCs w:val="24"/>
                <w:lang w:val="en-US" w:eastAsia="zh-CN"/>
              </w:rPr>
              <w:t>学校教学及管理</w:t>
            </w:r>
            <w:r>
              <w:rPr>
                <w:rFonts w:hint="eastAsia" w:ascii="仿宋_GB2312" w:hAnsi="仿宋_GB2312" w:eastAsia="仿宋_GB2312" w:cs="仿宋_GB2312"/>
                <w:kern w:val="0"/>
                <w:sz w:val="24"/>
                <w:szCs w:val="24"/>
              </w:rPr>
              <w:t>的方方面面。</w:t>
            </w:r>
            <w:r>
              <w:rPr>
                <w:rFonts w:hint="eastAsia" w:ascii="仿宋_GB2312" w:hAnsi="仿宋_GB2312" w:eastAsia="仿宋_GB2312" w:cs="仿宋_GB2312"/>
                <w:kern w:val="0"/>
                <w:sz w:val="24"/>
                <w:szCs w:val="24"/>
                <w:lang w:val="en-US" w:eastAsia="zh-CN"/>
              </w:rPr>
              <w:t>学生能体会到真正的教学，提升学生综合实践能力。</w:t>
            </w:r>
          </w:p>
          <w:p>
            <w:pPr>
              <w:spacing w:line="360" w:lineRule="auto"/>
              <w:ind w:firstLine="482" w:firstLineChars="200"/>
              <w:rPr>
                <w:rFonts w:ascii="仿宋_GB2312" w:hAnsi="仿宋_GB2312" w:eastAsia="仿宋_GB2312" w:cs="仿宋_GB2312"/>
                <w:b/>
                <w:kern w:val="0"/>
                <w:sz w:val="24"/>
                <w:szCs w:val="20"/>
              </w:rPr>
            </w:pPr>
            <w:r>
              <w:rPr>
                <w:rFonts w:hint="eastAsia" w:ascii="仿宋_GB2312" w:hAnsi="仿宋_GB2312" w:eastAsia="仿宋_GB2312" w:cs="仿宋_GB2312"/>
                <w:b/>
                <w:kern w:val="0"/>
                <w:sz w:val="24"/>
                <w:szCs w:val="20"/>
              </w:rPr>
              <w:t>四、理论学习与社会实践内容的相关性</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 针对学生实践环节中涉及到的理论知识进行梳理，每个点形成一个独立的单元主题，每个主题去解决一个或几个有针对性的问题，做到理论联系实践，为实践服务，实践又帮助理论学习与巩固。沉浸式实践主要针对主题教育采用“观中学、看中学、做中学、读中学、辩中学、练中学”的模式，如下图所示，理论学习内容与社会实践环节的对应与连接。</w:t>
            </w:r>
          </w:p>
          <w:p>
            <w:pPr>
              <w:spacing w:line="340" w:lineRule="atLeast"/>
              <w:ind w:firstLine="420" w:firstLineChars="200"/>
              <w:rPr>
                <w:rFonts w:hint="default" w:ascii="仿宋_GB2312" w:hAnsi="仿宋_GB2312" w:eastAsia="仿宋_GB2312" w:cs="仿宋_GB2312"/>
                <w:b/>
                <w:bCs/>
                <w:kern w:val="0"/>
                <w:sz w:val="21"/>
                <w:szCs w:val="21"/>
                <w:lang w:val="en-US" w:eastAsia="zh-CN"/>
              </w:rPr>
            </w:pPr>
            <w:r>
              <w:drawing>
                <wp:anchor distT="0" distB="0" distL="114300" distR="114300" simplePos="0" relativeHeight="251662336" behindDoc="0" locked="0" layoutInCell="1" allowOverlap="1">
                  <wp:simplePos x="0" y="0"/>
                  <wp:positionH relativeFrom="column">
                    <wp:posOffset>-26035</wp:posOffset>
                  </wp:positionH>
                  <wp:positionV relativeFrom="paragraph">
                    <wp:posOffset>140970</wp:posOffset>
                  </wp:positionV>
                  <wp:extent cx="5177155" cy="2085340"/>
                  <wp:effectExtent l="0" t="0" r="0" b="0"/>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rcRect t="7492" r="1736" b="3366"/>
                          <a:stretch>
                            <a:fillRect/>
                          </a:stretch>
                        </pic:blipFill>
                        <pic:spPr>
                          <a:xfrm>
                            <a:off x="0" y="0"/>
                            <a:ext cx="5177155" cy="2085340"/>
                          </a:xfrm>
                          <a:prstGeom prst="rect">
                            <a:avLst/>
                          </a:prstGeom>
                          <a:noFill/>
                          <a:ln>
                            <a:noFill/>
                          </a:ln>
                        </pic:spPr>
                      </pic:pic>
                    </a:graphicData>
                  </a:graphic>
                </wp:anchor>
              </w:drawing>
            </w:r>
            <w:r>
              <w:rPr>
                <w:rFonts w:hint="eastAsia"/>
                <w:lang w:val="en-US" w:eastAsia="zh-CN"/>
              </w:rPr>
              <w:t xml:space="preserve">                     </w:t>
            </w:r>
            <w:r>
              <w:rPr>
                <w:rFonts w:hint="eastAsia" w:ascii="仿宋_GB2312" w:hAnsi="仿宋_GB2312" w:eastAsia="仿宋_GB2312" w:cs="仿宋_GB2312"/>
                <w:b/>
                <w:bCs/>
                <w:kern w:val="0"/>
                <w:sz w:val="21"/>
                <w:szCs w:val="21"/>
                <w:lang w:val="en-US" w:eastAsia="zh-CN"/>
              </w:rPr>
              <w:t>图4 理论学习与社会实践连接</w:t>
            </w:r>
          </w:p>
          <w:p>
            <w:pPr>
              <w:spacing w:line="340" w:lineRule="atLeast"/>
              <w:ind w:firstLine="480" w:firstLineChars="200"/>
              <w:rPr>
                <w:rFonts w:hint="eastAsia" w:ascii="仿宋_GB2312" w:hAnsi="仿宋_GB2312" w:eastAsia="仿宋_GB2312" w:cs="仿宋_GB2312"/>
                <w:kern w:val="0"/>
                <w:sz w:val="24"/>
                <w:szCs w:val="24"/>
                <w:lang w:val="en-US" w:eastAsia="zh-CN"/>
              </w:rPr>
            </w:pPr>
          </w:p>
          <w:p>
            <w:pPr>
              <w:spacing w:line="360" w:lineRule="auto"/>
              <w:ind w:firstLine="482" w:firstLineChars="200"/>
              <w:rPr>
                <w:rFonts w:ascii="仿宋_GB2312" w:hAnsi="仿宋_GB2312" w:eastAsia="仿宋_GB2312" w:cs="仿宋_GB2312"/>
                <w:b/>
                <w:kern w:val="0"/>
                <w:sz w:val="24"/>
                <w:szCs w:val="20"/>
              </w:rPr>
            </w:pPr>
            <w:r>
              <w:rPr>
                <w:rFonts w:hint="eastAsia" w:ascii="仿宋_GB2312" w:hAnsi="仿宋_GB2312" w:eastAsia="仿宋_GB2312" w:cs="仿宋_GB2312"/>
                <w:b/>
                <w:kern w:val="0"/>
                <w:sz w:val="24"/>
                <w:szCs w:val="20"/>
              </w:rPr>
              <w:t>五、社会实践环节的动手训练内容，具体做法案例</w:t>
            </w:r>
          </w:p>
          <w:p>
            <w:pPr>
              <w:numPr>
                <w:ilvl w:val="0"/>
                <w:numId w:val="0"/>
              </w:numPr>
              <w:spacing w:line="340" w:lineRule="atLeas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    根据主题内容 ,针对社会实践环节的练习，结合分组教学法 ,采用专题模块化教育构思把学生分组进行专题训练，把教学内容溶解到教育情景剧、最美教师微视频、教学技能训练等活动中。学生按小组选择其中一个主题全程全员参与 ,利用课外时间进行准备 ,让学生在活动过程中学习、在参与体验中成长 ,进而激发学生思考或探索自身的职业兴趣与发展需要。</w:t>
            </w:r>
          </w:p>
          <w:p>
            <w:pPr>
              <w:spacing w:line="360" w:lineRule="auto"/>
              <w:ind w:firstLine="482" w:firstLineChars="200"/>
              <w:rPr>
                <w:rFonts w:ascii="仿宋_GB2312" w:hAnsi="仿宋_GB2312" w:eastAsia="仿宋_GB2312" w:cs="仿宋_GB2312"/>
                <w:b/>
                <w:kern w:val="0"/>
                <w:sz w:val="24"/>
                <w:szCs w:val="20"/>
              </w:rPr>
            </w:pPr>
            <w:r>
              <w:rPr>
                <w:rFonts w:hint="eastAsia" w:ascii="仿宋_GB2312" w:hAnsi="仿宋_GB2312" w:eastAsia="仿宋_GB2312" w:cs="仿宋_GB2312"/>
                <w:b/>
                <w:kern w:val="0"/>
                <w:sz w:val="24"/>
                <w:szCs w:val="20"/>
              </w:rPr>
              <w:t>六、课程学业考评方式</w:t>
            </w:r>
          </w:p>
          <w:p>
            <w:pPr>
              <w:spacing w:line="340" w:lineRule="atLeas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针对课程内容考核：</w:t>
            </w:r>
            <w:r>
              <w:rPr>
                <w:rFonts w:hint="eastAsia" w:ascii="仿宋_GB2312" w:hAnsi="仿宋_GB2312" w:eastAsia="仿宋_GB2312" w:cs="仿宋_GB2312"/>
                <w:kern w:val="0"/>
                <w:sz w:val="24"/>
                <w:szCs w:val="24"/>
                <w:highlight w:val="none"/>
                <w:lang w:val="en-US" w:eastAsia="zh-CN"/>
              </w:rPr>
              <w:t>一是加大实践比例；二是量化考核标准；三是加强过程考核。学习内容分</w:t>
            </w:r>
            <w:r>
              <w:rPr>
                <w:rFonts w:hint="eastAsia" w:ascii="仿宋_GB2312" w:hAnsi="仿宋_GB2312" w:eastAsia="仿宋_GB2312" w:cs="仿宋_GB2312"/>
                <w:kern w:val="0"/>
                <w:sz w:val="24"/>
                <w:szCs w:val="24"/>
                <w:lang w:val="en-US" w:eastAsia="zh-CN"/>
              </w:rPr>
              <w:t>理论知识考核和实践技能考核两个层面。同时在评价中采取学生自评、小组互评与教师评价相结合方式，理论教学由校内教师从课堂讨论、案例分析、考试等方面进行考核，占比40%，实践技能由校内教师、小组成员和校外教师从小组情景剧表演、最美教师微视频、学生实践作品、特色文化作品，学进行考核，占比60%。</w:t>
            </w:r>
            <w:r>
              <w:rPr>
                <w:rFonts w:hint="eastAsia" w:ascii="仿宋_GB2312" w:hAnsi="仿宋_GB2312" w:eastAsia="仿宋_GB2312" w:cs="仿宋_GB2312"/>
                <w:kern w:val="0"/>
                <w:sz w:val="24"/>
                <w:szCs w:val="24"/>
              </w:rPr>
              <w:t>最终将上述</w:t>
            </w:r>
            <w:r>
              <w:rPr>
                <w:rFonts w:hint="eastAsia" w:ascii="仿宋_GB2312" w:hAnsi="仿宋_GB2312" w:eastAsia="仿宋_GB2312" w:cs="仿宋_GB2312"/>
                <w:kern w:val="0"/>
                <w:sz w:val="24"/>
                <w:szCs w:val="24"/>
                <w:lang w:val="en-US" w:eastAsia="zh-CN"/>
              </w:rPr>
              <w:t>两</w:t>
            </w:r>
            <w:r>
              <w:rPr>
                <w:rFonts w:hint="eastAsia" w:ascii="仿宋_GB2312" w:hAnsi="仿宋_GB2312" w:eastAsia="仿宋_GB2312" w:cs="仿宋_GB2312"/>
                <w:kern w:val="0"/>
                <w:sz w:val="24"/>
                <w:szCs w:val="24"/>
              </w:rPr>
              <w:t>项成绩加总作为本课程的结课成绩。</w:t>
            </w:r>
          </w:p>
          <w:p>
            <w:pPr>
              <w:spacing w:line="340" w:lineRule="atLeast"/>
              <w:ind w:firstLine="420" w:firstLineChars="200"/>
              <w:rPr>
                <w:rFonts w:hint="eastAsia" w:ascii="仿宋_GB2312" w:hAnsi="仿宋_GB2312" w:eastAsia="仿宋_GB2312" w:cs="仿宋_GB2312"/>
                <w:kern w:val="0"/>
                <w:sz w:val="24"/>
                <w:szCs w:val="24"/>
              </w:rPr>
            </w:pPr>
            <w:r>
              <w:drawing>
                <wp:anchor distT="0" distB="0" distL="114300" distR="114300" simplePos="0" relativeHeight="251664384" behindDoc="0" locked="0" layoutInCell="1" allowOverlap="1">
                  <wp:simplePos x="0" y="0"/>
                  <wp:positionH relativeFrom="column">
                    <wp:posOffset>298450</wp:posOffset>
                  </wp:positionH>
                  <wp:positionV relativeFrom="paragraph">
                    <wp:posOffset>205740</wp:posOffset>
                  </wp:positionV>
                  <wp:extent cx="5277485" cy="2599055"/>
                  <wp:effectExtent l="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rcRect t="2081" r="-205"/>
                          <a:stretch>
                            <a:fillRect/>
                          </a:stretch>
                        </pic:blipFill>
                        <pic:spPr>
                          <a:xfrm>
                            <a:off x="0" y="0"/>
                            <a:ext cx="5277485" cy="2599055"/>
                          </a:xfrm>
                          <a:prstGeom prst="rect">
                            <a:avLst/>
                          </a:prstGeom>
                          <a:noFill/>
                          <a:ln>
                            <a:noFill/>
                          </a:ln>
                        </pic:spPr>
                      </pic:pic>
                    </a:graphicData>
                  </a:graphic>
                </wp:anchor>
              </w:drawing>
            </w:r>
          </w:p>
          <w:p>
            <w:pPr>
              <w:spacing w:line="340" w:lineRule="atLeast"/>
              <w:ind w:firstLine="422" w:firstLineChars="200"/>
              <w:jc w:val="center"/>
              <w:rPr>
                <w:rFonts w:hint="default" w:ascii="仿宋_GB2312" w:hAnsi="仿宋_GB2312" w:eastAsia="仿宋_GB2312" w:cs="仿宋_GB2312"/>
                <w:kern w:val="0"/>
                <w:sz w:val="24"/>
                <w:szCs w:val="24"/>
                <w:lang w:val="en-US"/>
              </w:rPr>
            </w:pPr>
            <w:r>
              <w:rPr>
                <w:rFonts w:hint="eastAsia" w:ascii="仿宋_GB2312" w:hAnsi="仿宋_GB2312" w:eastAsia="仿宋_GB2312" w:cs="仿宋_GB2312"/>
                <w:b/>
                <w:bCs/>
                <w:kern w:val="0"/>
                <w:sz w:val="21"/>
                <w:szCs w:val="21"/>
                <w:lang w:val="en-US" w:eastAsia="zh-CN"/>
              </w:rPr>
              <w:t>图5 课程考核方法</w:t>
            </w:r>
          </w:p>
          <w:p>
            <w:pPr>
              <w:spacing w:line="340" w:lineRule="atLeast"/>
              <w:ind w:firstLine="480" w:firstLineChars="200"/>
              <w:rPr>
                <w:rFonts w:hint="eastAsia" w:ascii="仿宋_GB2312" w:hAnsi="仿宋_GB2312" w:eastAsia="仿宋_GB2312" w:cs="仿宋_GB2312"/>
                <w:kern w:val="0"/>
                <w:sz w:val="24"/>
                <w:szCs w:val="24"/>
              </w:rPr>
            </w:pPr>
          </w:p>
          <w:p>
            <w:pPr>
              <w:spacing w:line="360" w:lineRule="auto"/>
              <w:ind w:firstLine="482" w:firstLineChars="200"/>
              <w:rPr>
                <w:rFonts w:ascii="仿宋_GB2312" w:hAnsi="仿宋_GB2312" w:eastAsia="仿宋_GB2312" w:cs="仿宋_GB2312"/>
                <w:b/>
                <w:kern w:val="0"/>
                <w:sz w:val="24"/>
                <w:szCs w:val="20"/>
              </w:rPr>
            </w:pPr>
            <w:r>
              <w:rPr>
                <w:rFonts w:hint="eastAsia" w:ascii="仿宋_GB2312" w:hAnsi="仿宋_GB2312" w:eastAsia="仿宋_GB2312" w:cs="仿宋_GB2312"/>
                <w:b/>
                <w:kern w:val="0"/>
                <w:sz w:val="24"/>
                <w:szCs w:val="20"/>
              </w:rPr>
              <w:t>七、课程评价及改革成效</w:t>
            </w:r>
          </w:p>
          <w:p>
            <w:pPr>
              <w:spacing w:line="340" w:lineRule="atLeast"/>
              <w:ind w:firstLine="480" w:firstLineChars="20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通过为期的课</w:t>
            </w:r>
            <w:r>
              <w:rPr>
                <w:rFonts w:hint="eastAsia" w:ascii="仿宋_GB2312" w:hAnsi="仿宋_GB2312" w:eastAsia="仿宋_GB2312" w:cs="仿宋_GB2312"/>
                <w:kern w:val="0"/>
                <w:sz w:val="24"/>
                <w:szCs w:val="24"/>
                <w:lang w:val="en-US" w:eastAsia="zh-CN"/>
              </w:rPr>
              <w:t>四年</w:t>
            </w:r>
            <w:r>
              <w:rPr>
                <w:rFonts w:hint="eastAsia" w:ascii="仿宋_GB2312" w:hAnsi="仿宋_GB2312" w:eastAsia="仿宋_GB2312" w:cs="仿宋_GB2312"/>
                <w:kern w:val="0"/>
                <w:sz w:val="24"/>
                <w:szCs w:val="24"/>
              </w:rPr>
              <w:t>程运行，学生取得了较好成绩</w:t>
            </w:r>
            <w:r>
              <w:rPr>
                <w:rFonts w:hint="eastAsia" w:ascii="仿宋_GB2312" w:hAnsi="仿宋_GB2312" w:eastAsia="仿宋_GB2312" w:cs="仿宋_GB2312"/>
                <w:kern w:val="0"/>
                <w:sz w:val="24"/>
                <w:szCs w:val="24"/>
                <w:lang w:eastAsia="zh-CN"/>
              </w:rPr>
              <w:t>。</w:t>
            </w:r>
            <w:r>
              <w:rPr>
                <w:rFonts w:hint="eastAsia" w:ascii="仿宋_GB2312" w:hAnsi="仿宋_GB2312" w:eastAsia="仿宋_GB2312" w:cs="仿宋_GB2312"/>
                <w:kern w:val="0"/>
                <w:sz w:val="24"/>
                <w:szCs w:val="24"/>
                <w:lang w:val="en-US" w:eastAsia="zh-CN"/>
              </w:rPr>
              <w:t>在评价中采取学生小组互评与教师评价相结合方式，评价主体多元化，由校内专业教师、校外教师、学生及小组组成。教学改革也取得了一定的成效：</w:t>
            </w:r>
          </w:p>
          <w:p>
            <w:pPr>
              <w:numPr>
                <w:ilvl w:val="0"/>
                <w:numId w:val="0"/>
              </w:numPr>
              <w:spacing w:line="340" w:lineRule="atLeast"/>
              <w:ind w:firstLine="480"/>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（1）通过</w:t>
            </w:r>
            <w:r>
              <w:rPr>
                <w:rFonts w:hint="eastAsia" w:ascii="仿宋_GB2312" w:hAnsi="仿宋_GB2312" w:eastAsia="仿宋_GB2312" w:cs="仿宋_GB2312"/>
                <w:kern w:val="0"/>
                <w:sz w:val="24"/>
                <w:szCs w:val="24"/>
                <w:lang w:val="en-US" w:eastAsia="zh-CN"/>
              </w:rPr>
              <w:t>课程重构项目主题是学习</w:t>
            </w:r>
            <w:r>
              <w:rPr>
                <w:rFonts w:hint="default" w:ascii="仿宋_GB2312" w:hAnsi="仿宋_GB2312" w:eastAsia="仿宋_GB2312" w:cs="仿宋_GB2312"/>
                <w:kern w:val="0"/>
                <w:sz w:val="24"/>
                <w:szCs w:val="24"/>
                <w:lang w:val="en-US" w:eastAsia="zh-CN"/>
              </w:rPr>
              <w:t>，学生课堂参与互动的人数呈逐年增加的趋势，积极参与的学生考评成绩均达到85分以上。</w:t>
            </w:r>
          </w:p>
          <w:p>
            <w:pPr>
              <w:numPr>
                <w:ilvl w:val="0"/>
                <w:numId w:val="0"/>
              </w:numPr>
              <w:spacing w:line="340" w:lineRule="atLeast"/>
              <w:ind w:firstLine="480"/>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（2）通过</w:t>
            </w:r>
            <w:r>
              <w:rPr>
                <w:rFonts w:hint="eastAsia" w:ascii="仿宋_GB2312" w:hAnsi="仿宋_GB2312" w:eastAsia="仿宋_GB2312" w:cs="仿宋_GB2312"/>
                <w:kern w:val="0"/>
                <w:sz w:val="24"/>
                <w:szCs w:val="24"/>
                <w:lang w:val="en-US" w:eastAsia="zh-CN"/>
              </w:rPr>
              <w:t>加大实践环节</w:t>
            </w:r>
            <w:r>
              <w:rPr>
                <w:rFonts w:hint="default" w:ascii="仿宋_GB2312" w:hAnsi="仿宋_GB2312" w:eastAsia="仿宋_GB2312" w:cs="仿宋_GB2312"/>
                <w:kern w:val="0"/>
                <w:sz w:val="24"/>
                <w:szCs w:val="24"/>
                <w:lang w:val="en-US" w:eastAsia="zh-CN"/>
              </w:rPr>
              <w:t>，学生</w:t>
            </w:r>
            <w:r>
              <w:rPr>
                <w:rFonts w:hint="eastAsia" w:ascii="仿宋_GB2312" w:hAnsi="仿宋_GB2312" w:eastAsia="仿宋_GB2312" w:cs="仿宋_GB2312"/>
                <w:kern w:val="0"/>
                <w:sz w:val="24"/>
                <w:szCs w:val="24"/>
                <w:lang w:val="en-US" w:eastAsia="zh-CN"/>
              </w:rPr>
              <w:t>在学习基本理论的同时，综合能力得到了提升，扩充了学生的知识视野，在实践支教活动中也得到了学校的认可。</w:t>
            </w: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ind w:firstLine="482" w:firstLineChars="200"/>
              <w:rPr>
                <w:rFonts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一、</w:t>
            </w:r>
            <w:r>
              <w:rPr>
                <w:rFonts w:hint="eastAsia" w:ascii="仿宋" w:hAnsi="仿宋" w:eastAsia="仿宋" w:cs="仿宋"/>
                <w:b/>
                <w:kern w:val="0"/>
                <w:sz w:val="24"/>
                <w:szCs w:val="24"/>
                <w:highlight w:val="none"/>
              </w:rPr>
              <w:t>本课程的特色</w:t>
            </w:r>
          </w:p>
          <w:p>
            <w:pPr>
              <w:spacing w:line="340" w:lineRule="atLeas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根据课程与学生特点，以学生为中心，以能力提升为目标，以思想政治教育贯穿始终，</w:t>
            </w:r>
            <w:r>
              <w:rPr>
                <w:rFonts w:hint="eastAsia" w:ascii="仿宋_GB2312" w:hAnsi="仿宋_GB2312" w:eastAsia="仿宋_GB2312" w:cs="仿宋_GB2312"/>
                <w:kern w:val="0"/>
                <w:sz w:val="24"/>
                <w:szCs w:val="24"/>
                <w:lang w:val="en-US" w:eastAsia="zh-CN"/>
              </w:rPr>
              <w:t>在课程设计中创新教学模式，采用“主题教育+沉浸式实践”模式，</w:t>
            </w:r>
            <w:r>
              <w:rPr>
                <w:rFonts w:hint="eastAsia" w:ascii="仿宋_GB2312" w:hAnsi="仿宋_GB2312" w:eastAsia="仿宋_GB2312" w:cs="仿宋_GB2312"/>
                <w:kern w:val="0"/>
                <w:sz w:val="24"/>
                <w:szCs w:val="24"/>
              </w:rPr>
              <w:t>培育</w:t>
            </w:r>
            <w:r>
              <w:rPr>
                <w:rFonts w:hint="eastAsia" w:ascii="仿宋_GB2312" w:hAnsi="仿宋_GB2312" w:eastAsia="仿宋_GB2312" w:cs="仿宋_GB2312"/>
                <w:kern w:val="0"/>
                <w:sz w:val="24"/>
                <w:szCs w:val="24"/>
                <w:lang w:val="en-US" w:eastAsia="zh-CN"/>
              </w:rPr>
              <w:t>学生</w:t>
            </w:r>
            <w:r>
              <w:rPr>
                <w:rFonts w:hint="eastAsia" w:ascii="仿宋_GB2312" w:hAnsi="仿宋_GB2312" w:eastAsia="仿宋_GB2312" w:cs="仿宋_GB2312"/>
                <w:kern w:val="0"/>
                <w:sz w:val="24"/>
                <w:szCs w:val="24"/>
              </w:rPr>
              <w:t>师德践行能力.通过明确师德底线.遵从师德高线进行引领，将师德践行能力融入学生学习生活全过程,形成“两线一融入”的师德践行能力培养模式。</w:t>
            </w:r>
          </w:p>
          <w:p>
            <w:pPr>
              <w:spacing w:line="340" w:lineRule="atLeast"/>
              <w:ind w:firstLine="482" w:firstLineChars="20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二、</w:t>
            </w:r>
            <w:r>
              <w:rPr>
                <w:rFonts w:hint="eastAsia" w:ascii="仿宋" w:hAnsi="仿宋" w:eastAsia="仿宋" w:cs="仿宋"/>
                <w:b/>
                <w:kern w:val="0"/>
                <w:sz w:val="24"/>
                <w:szCs w:val="24"/>
                <w:highlight w:val="none"/>
              </w:rPr>
              <w:t>教学改革创新点</w:t>
            </w:r>
          </w:p>
          <w:p>
            <w:p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1.开发与实施“</w:t>
            </w:r>
            <w:r>
              <w:rPr>
                <w:rFonts w:hint="eastAsia" w:ascii="仿宋_GB2312" w:hAnsi="仿宋_GB2312" w:eastAsia="仿宋_GB2312" w:cs="仿宋_GB2312"/>
                <w:kern w:val="0"/>
                <w:sz w:val="24"/>
                <w:szCs w:val="24"/>
                <w:lang w:val="en-US" w:eastAsia="zh-CN"/>
              </w:rPr>
              <w:t>主题教育+沉浸式实践</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的创新教学模式</w:t>
            </w:r>
          </w:p>
          <w:p>
            <w:pPr>
              <w:spacing w:line="340" w:lineRule="atLeas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校内教师传授理论知识，使学生</w:t>
            </w:r>
            <w:r>
              <w:rPr>
                <w:rFonts w:hint="eastAsia" w:ascii="仿宋_GB2312" w:hAnsi="仿宋_GB2312" w:eastAsia="仿宋_GB2312" w:cs="仿宋_GB2312"/>
                <w:kern w:val="0"/>
                <w:sz w:val="24"/>
                <w:szCs w:val="24"/>
                <w:lang w:val="en-US" w:eastAsia="zh-CN"/>
              </w:rPr>
              <w:t>掌握基础理论知识</w:t>
            </w:r>
            <w:r>
              <w:rPr>
                <w:rFonts w:hint="eastAsia" w:ascii="仿宋_GB2312" w:hAnsi="仿宋_GB2312" w:eastAsia="仿宋_GB2312" w:cs="仿宋_GB2312"/>
                <w:kern w:val="0"/>
                <w:sz w:val="24"/>
                <w:szCs w:val="24"/>
              </w:rPr>
              <w:t>；参加</w:t>
            </w:r>
            <w:r>
              <w:rPr>
                <w:rFonts w:hint="eastAsia" w:ascii="仿宋_GB2312" w:hAnsi="仿宋_GB2312" w:eastAsia="仿宋_GB2312" w:cs="仿宋_GB2312"/>
                <w:kern w:val="0"/>
                <w:sz w:val="24"/>
                <w:szCs w:val="24"/>
                <w:lang w:val="en-US" w:eastAsia="zh-CN"/>
              </w:rPr>
              <w:t>实践活动、进入实习基地</w:t>
            </w:r>
            <w:r>
              <w:rPr>
                <w:rFonts w:hint="eastAsia" w:ascii="仿宋_GB2312" w:hAnsi="仿宋_GB2312" w:eastAsia="仿宋_GB2312" w:cs="仿宋_GB2312"/>
                <w:kern w:val="0"/>
                <w:sz w:val="24"/>
                <w:szCs w:val="24"/>
              </w:rPr>
              <w:t>实战，以学生为中心、以产出为导向、增加课程的挑战度，全面提升学生就业竞争力。</w:t>
            </w:r>
          </w:p>
          <w:p>
            <w:pPr>
              <w:numPr>
                <w:ilvl w:val="0"/>
                <w:numId w:val="2"/>
              </w:numPr>
              <w:spacing w:line="340" w:lineRule="atLeast"/>
              <w:ind w:firstLine="480" w:firstLineChars="2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以实践为主要形式的“做中学”课程</w:t>
            </w:r>
          </w:p>
          <w:p>
            <w:pPr>
              <w:numPr>
                <w:ilvl w:val="0"/>
                <w:numId w:val="0"/>
              </w:numPr>
              <w:spacing w:line="340" w:lineRule="atLeast"/>
              <w:ind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在本课程中采用“做中学”，构建“源于问题，始于知识，贯之实践，终于评价”的教学模式，引导学生经历“明确知识要求”“探索具体问题”“设计与制作”“自评与互评”四个阶段。</w:t>
            </w:r>
          </w:p>
          <w:p>
            <w:pPr>
              <w:numPr>
                <w:ilvl w:val="0"/>
                <w:numId w:val="0"/>
              </w:numPr>
              <w:spacing w:line="340" w:lineRule="atLeast"/>
              <w:ind w:firstLine="48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3.</w:t>
            </w:r>
            <w:r>
              <w:rPr>
                <w:rFonts w:hint="eastAsia" w:ascii="仿宋_GB2312" w:hAnsi="仿宋_GB2312" w:eastAsia="仿宋_GB2312" w:cs="仿宋_GB2312"/>
                <w:kern w:val="0"/>
                <w:sz w:val="24"/>
                <w:szCs w:val="24"/>
              </w:rPr>
              <w:t>借力</w:t>
            </w:r>
            <w:r>
              <w:rPr>
                <w:rFonts w:hint="eastAsia" w:ascii="仿宋_GB2312" w:hAnsi="仿宋_GB2312" w:eastAsia="仿宋_GB2312" w:cs="仿宋_GB2312"/>
                <w:kern w:val="0"/>
                <w:sz w:val="24"/>
                <w:szCs w:val="24"/>
                <w:lang w:val="en-US" w:eastAsia="zh-CN"/>
              </w:rPr>
              <w:t>特色文化实习</w:t>
            </w:r>
            <w:r>
              <w:rPr>
                <w:rFonts w:hint="eastAsia" w:ascii="仿宋_GB2312" w:hAnsi="仿宋_GB2312" w:eastAsia="仿宋_GB2312" w:cs="仿宋_GB2312"/>
                <w:kern w:val="0"/>
                <w:sz w:val="24"/>
                <w:szCs w:val="24"/>
              </w:rPr>
              <w:t>基地</w:t>
            </w:r>
            <w:r>
              <w:rPr>
                <w:rFonts w:hint="eastAsia" w:ascii="仿宋_GB2312" w:hAnsi="仿宋_GB2312" w:eastAsia="仿宋_GB2312" w:cs="仿宋_GB2312"/>
                <w:kern w:val="0"/>
                <w:sz w:val="24"/>
                <w:szCs w:val="24"/>
                <w:lang w:val="en-US" w:eastAsia="zh-CN"/>
              </w:rPr>
              <w:t>拓展综合实践活动</w:t>
            </w:r>
          </w:p>
          <w:p>
            <w:pPr>
              <w:numPr>
                <w:ilvl w:val="0"/>
                <w:numId w:val="0"/>
              </w:numPr>
              <w:spacing w:line="340" w:lineRule="atLeast"/>
              <w:ind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充分利用本地区的</w:t>
            </w:r>
            <w:r>
              <w:rPr>
                <w:rFonts w:hint="eastAsia" w:ascii="仿宋_GB2312" w:hAnsi="仿宋_GB2312" w:eastAsia="仿宋_GB2312" w:cs="仿宋_GB2312"/>
                <w:kern w:val="0"/>
                <w:sz w:val="24"/>
                <w:szCs w:val="24"/>
                <w:lang w:val="en-US" w:eastAsia="zh-CN"/>
              </w:rPr>
              <w:t>红色文化教育基地</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古文化遗址、博物馆等</w:t>
            </w:r>
            <w:r>
              <w:rPr>
                <w:rFonts w:hint="eastAsia" w:ascii="仿宋_GB2312" w:hAnsi="仿宋_GB2312" w:eastAsia="仿宋_GB2312" w:cs="仿宋_GB2312"/>
                <w:kern w:val="0"/>
                <w:sz w:val="24"/>
                <w:szCs w:val="24"/>
              </w:rPr>
              <w:t>校外教育资源，分级组织学生到相应的校外开展</w:t>
            </w:r>
            <w:r>
              <w:rPr>
                <w:rFonts w:hint="eastAsia" w:ascii="仿宋_GB2312" w:hAnsi="仿宋_GB2312" w:eastAsia="仿宋_GB2312" w:cs="仿宋_GB2312"/>
                <w:kern w:val="0"/>
                <w:sz w:val="24"/>
                <w:szCs w:val="24"/>
                <w:lang w:val="en-US" w:eastAsia="zh-CN"/>
              </w:rPr>
              <w:t>参观</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学习、实践等</w:t>
            </w:r>
            <w:r>
              <w:rPr>
                <w:rFonts w:hint="eastAsia" w:ascii="仿宋_GB2312" w:hAnsi="仿宋_GB2312" w:eastAsia="仿宋_GB2312" w:cs="仿宋_GB2312"/>
                <w:kern w:val="0"/>
                <w:sz w:val="24"/>
                <w:szCs w:val="24"/>
              </w:rPr>
              <w:t>活动，让学生接触</w:t>
            </w:r>
            <w:r>
              <w:rPr>
                <w:rFonts w:hint="eastAsia" w:ascii="仿宋_GB2312" w:hAnsi="仿宋_GB2312" w:eastAsia="仿宋_GB2312" w:cs="仿宋_GB2312"/>
                <w:kern w:val="0"/>
                <w:sz w:val="24"/>
                <w:szCs w:val="24"/>
                <w:lang w:val="en-US" w:eastAsia="zh-CN"/>
              </w:rPr>
              <w:t>传统文化知识，将传统文化融入到职业认知中，提升教师职业素养。</w:t>
            </w:r>
          </w:p>
          <w:p>
            <w:pPr>
              <w:numPr>
                <w:ilvl w:val="0"/>
                <w:numId w:val="0"/>
              </w:numPr>
              <w:spacing w:line="340" w:lineRule="atLeast"/>
              <w:ind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4、在课程中融合“五育”</w:t>
            </w:r>
          </w:p>
          <w:p>
            <w:pPr>
              <w:numPr>
                <w:ilvl w:val="0"/>
                <w:numId w:val="0"/>
              </w:numPr>
              <w:spacing w:line="340" w:lineRule="atLeast"/>
              <w:ind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在开展的教师职业道德认知教学研究并不局限于理论基础知识、国家政策法规的学习，在教学中倡导老师提升育人理念，在教学中体现道德、人文、艺术与科学、劳动的素养融合，强调科学与人文精神和社会价值观的养成。</w:t>
            </w: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spacing w:line="340" w:lineRule="atLeast"/>
              <w:rPr>
                <w:rFonts w:hint="default" w:ascii="仿宋_GB2312" w:hAnsi="仿宋_GB2312" w:eastAsia="仿宋_GB2312" w:cs="仿宋_GB2312"/>
                <w:b/>
                <w:bCs/>
                <w:kern w:val="0"/>
                <w:sz w:val="24"/>
                <w:szCs w:val="24"/>
                <w:highlight w:val="none"/>
                <w:lang w:val="en-US" w:eastAsia="zh-CN"/>
              </w:rPr>
            </w:pPr>
            <w:r>
              <w:rPr>
                <w:rFonts w:hint="eastAsia" w:ascii="仿宋_GB2312" w:hAnsi="仿宋_GB2312" w:eastAsia="仿宋_GB2312" w:cs="仿宋_GB2312"/>
                <w:kern w:val="0"/>
                <w:sz w:val="24"/>
                <w:szCs w:val="24"/>
                <w:lang w:val="en-US" w:eastAsia="zh-CN"/>
              </w:rPr>
              <w:t xml:space="preserve">   </w:t>
            </w:r>
            <w:r>
              <w:rPr>
                <w:rFonts w:hint="eastAsia" w:ascii="仿宋_GB2312" w:hAnsi="仿宋_GB2312" w:eastAsia="仿宋_GB2312" w:cs="仿宋_GB2312"/>
                <w:b/>
                <w:bCs/>
                <w:kern w:val="0"/>
                <w:sz w:val="24"/>
                <w:szCs w:val="24"/>
                <w:lang w:val="en-US" w:eastAsia="zh-CN"/>
              </w:rPr>
              <w:t>一、</w:t>
            </w:r>
            <w:r>
              <w:rPr>
                <w:rFonts w:hint="eastAsia" w:ascii="仿宋_GB2312" w:hAnsi="仿宋_GB2312" w:eastAsia="仿宋_GB2312" w:cs="仿宋_GB2312"/>
                <w:b/>
                <w:bCs/>
                <w:kern w:val="0"/>
                <w:sz w:val="24"/>
                <w:szCs w:val="24"/>
                <w:highlight w:val="none"/>
                <w:lang w:val="en-US" w:eastAsia="zh-CN"/>
              </w:rPr>
              <w:t>完善教师职业道德课程的设计</w:t>
            </w:r>
          </w:p>
          <w:p>
            <w:pPr>
              <w:numPr>
                <w:ilvl w:val="0"/>
                <w:numId w:val="0"/>
              </w:numPr>
              <w:spacing w:line="340" w:lineRule="atLeast"/>
              <w:ind w:firstLine="48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教师职业道德课程与实践旨在培养学生高尚的道德情操和道德修养，提升学生的师德，所以要以教师职业道德教育贯穿始终，从整体规划育教师职业道德的培养。一年级以“立师德”为目标从入学之初开展职业道德教育,明确今后的发展方向,加强职业道德教育和法制教育.培养专业素养培育学生的匠心意识和匠心精神；二年级以“强师能”为目标.突出教师职业能力教育.重点围绕立志成才开展教育.加强专业学习培养创新能力加强职业素质的培养,提升学生专业技术能力:三年级以“铸师魂”为目标,突出教育行业特点,逐步达到一种关爱学生、乐于从教、无私奉献的思想境界。四年级以“践师行”组织学生参加丰富多彩的志愿者活动，通过“蒲公英”教育帮扶活动为乡村儿童提供儿童游戏,手工绘画、讲故事、阅读等支教课程，培养无私奉献的师德涵养。</w:t>
            </w:r>
          </w:p>
          <w:p>
            <w:pPr>
              <w:pStyle w:val="14"/>
              <w:keepNext w:val="0"/>
              <w:keepLines w:val="0"/>
              <w:pageBreakBefore w:val="0"/>
              <w:widowControl w:val="0"/>
              <w:kinsoku/>
              <w:wordWrap/>
              <w:overflowPunct/>
              <w:topLinePunct w:val="0"/>
              <w:autoSpaceDE/>
              <w:autoSpaceDN/>
              <w:bidi w:val="0"/>
              <w:adjustRightInd/>
              <w:snapToGrid/>
              <w:spacing w:line="340" w:lineRule="atLeast"/>
              <w:ind w:firstLine="482"/>
              <w:textAlignment w:val="auto"/>
              <w:rPr>
                <w:rFonts w:hint="default" w:ascii="仿宋" w:hAnsi="仿宋" w:eastAsia="仿宋" w:cs="仿宋"/>
                <w:b/>
                <w:kern w:val="0"/>
                <w:sz w:val="24"/>
                <w:szCs w:val="24"/>
                <w:lang w:val="en-US" w:eastAsia="zh-CN"/>
              </w:rPr>
            </w:pPr>
            <w:r>
              <w:rPr>
                <w:rFonts w:hint="eastAsia" w:ascii="仿宋" w:hAnsi="仿宋" w:eastAsia="仿宋" w:cs="仿宋"/>
                <w:b/>
                <w:kern w:val="0"/>
                <w:sz w:val="24"/>
                <w:szCs w:val="24"/>
              </w:rPr>
              <w:t>二、</w:t>
            </w:r>
            <w:r>
              <w:rPr>
                <w:rFonts w:hint="eastAsia" w:ascii="仿宋" w:hAnsi="仿宋" w:eastAsia="仿宋" w:cs="仿宋"/>
                <w:b/>
                <w:kern w:val="0"/>
                <w:sz w:val="24"/>
                <w:szCs w:val="24"/>
                <w:lang w:val="en-US" w:eastAsia="zh-CN"/>
              </w:rPr>
              <w:t>丰富线上教学资源</w:t>
            </w:r>
          </w:p>
          <w:p>
            <w:pPr>
              <w:pStyle w:val="14"/>
              <w:keepNext w:val="0"/>
              <w:keepLines w:val="0"/>
              <w:pageBreakBefore w:val="0"/>
              <w:widowControl w:val="0"/>
              <w:kinsoku/>
              <w:wordWrap/>
              <w:overflowPunct/>
              <w:topLinePunct w:val="0"/>
              <w:autoSpaceDE/>
              <w:autoSpaceDN/>
              <w:bidi w:val="0"/>
              <w:adjustRightInd/>
              <w:snapToGrid/>
              <w:spacing w:line="340" w:lineRule="atLeast"/>
              <w:ind w:firstLine="480"/>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开发《教师职业道德》微课程，进行课程思路设计、课程内容的准备、课件制作以及微课的录制。将全部视频教学内容、习题等内容通过线上让学生随时能了解课程内容。</w:t>
            </w:r>
          </w:p>
          <w:p>
            <w:pPr>
              <w:pStyle w:val="14"/>
              <w:spacing w:line="360" w:lineRule="auto"/>
              <w:ind w:firstLine="482"/>
              <w:rPr>
                <w:rFonts w:ascii="仿宋" w:hAnsi="仿宋" w:eastAsia="仿宋" w:cs="仿宋"/>
                <w:b/>
                <w:kern w:val="0"/>
                <w:sz w:val="24"/>
                <w:szCs w:val="24"/>
              </w:rPr>
            </w:pPr>
            <w:r>
              <w:rPr>
                <w:rFonts w:hint="eastAsia" w:ascii="仿宋" w:hAnsi="仿宋" w:eastAsia="仿宋" w:cs="仿宋"/>
                <w:b/>
                <w:kern w:val="0"/>
                <w:sz w:val="24"/>
                <w:szCs w:val="24"/>
              </w:rPr>
              <w:t>三、</w:t>
            </w:r>
            <w:r>
              <w:rPr>
                <w:rFonts w:hint="eastAsia" w:ascii="仿宋" w:hAnsi="仿宋" w:eastAsia="仿宋" w:cs="仿宋"/>
                <w:b/>
                <w:kern w:val="0"/>
                <w:sz w:val="24"/>
                <w:szCs w:val="24"/>
                <w:lang w:val="en-US" w:eastAsia="zh-CN"/>
              </w:rPr>
              <w:t>加强</w:t>
            </w:r>
            <w:r>
              <w:rPr>
                <w:rFonts w:hint="eastAsia" w:ascii="仿宋" w:hAnsi="仿宋" w:eastAsia="仿宋" w:cs="仿宋"/>
                <w:b/>
                <w:kern w:val="0"/>
                <w:sz w:val="24"/>
                <w:szCs w:val="24"/>
              </w:rPr>
              <w:t>实训基地建设</w:t>
            </w:r>
          </w:p>
          <w:p>
            <w:pPr>
              <w:pStyle w:val="9"/>
              <w:spacing w:line="340" w:lineRule="atLeast"/>
              <w:ind w:left="0" w:leftChars="0" w:firstLine="480" w:firstLineChars="0"/>
              <w:rPr>
                <w:kern w:val="0"/>
                <w:sz w:val="24"/>
                <w:szCs w:val="24"/>
              </w:rPr>
            </w:pPr>
            <w:r>
              <w:rPr>
                <w:rFonts w:hint="default" w:ascii="仿宋_GB2312" w:hAnsi="仿宋_GB2312" w:eastAsia="仿宋_GB2312" w:cs="仿宋_GB2312"/>
                <w:kern w:val="0"/>
                <w:sz w:val="24"/>
                <w:szCs w:val="24"/>
                <w:lang w:val="en-US" w:eastAsia="zh-CN"/>
              </w:rPr>
              <w:t>在稳固现有实训基地的同时，采取多种渠道，建立多种类型的实训基地，以保证学生</w:t>
            </w:r>
            <w:r>
              <w:rPr>
                <w:rFonts w:hint="eastAsia" w:ascii="仿宋_GB2312" w:hAnsi="仿宋_GB2312" w:eastAsia="仿宋_GB2312" w:cs="仿宋_GB2312"/>
                <w:kern w:val="0"/>
                <w:sz w:val="24"/>
                <w:szCs w:val="24"/>
                <w:lang w:val="en-US" w:eastAsia="zh-CN"/>
              </w:rPr>
              <w:t>实践活动</w:t>
            </w:r>
            <w:r>
              <w:rPr>
                <w:rFonts w:hint="default" w:ascii="仿宋_GB2312" w:hAnsi="仿宋_GB2312" w:eastAsia="仿宋_GB2312" w:cs="仿宋_GB2312"/>
                <w:kern w:val="0"/>
                <w:sz w:val="24"/>
                <w:szCs w:val="24"/>
                <w:lang w:val="en-US" w:eastAsia="zh-CN"/>
              </w:rPr>
              <w:t>顺利进行。</w:t>
            </w: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83DFE"/>
    <w:multiLevelType w:val="singleLevel"/>
    <w:tmpl w:val="8EF83DFE"/>
    <w:lvl w:ilvl="0" w:tentative="0">
      <w:start w:val="2"/>
      <w:numFmt w:val="decimal"/>
      <w:lvlText w:val="%1."/>
      <w:lvlJc w:val="left"/>
      <w:pPr>
        <w:tabs>
          <w:tab w:val="left" w:pos="312"/>
        </w:tabs>
      </w:pPr>
    </w:lvl>
  </w:abstractNum>
  <w:abstractNum w:abstractNumId="1">
    <w:nsid w:val="9FF0A224"/>
    <w:multiLevelType w:val="singleLevel"/>
    <w:tmpl w:val="9FF0A22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1OTQ0NGRmMzBjNWRkNmUyNDAyZTFiOTdhYmUwZjIifQ=="/>
  </w:docVars>
  <w:rsids>
    <w:rsidRoot w:val="00314882"/>
    <w:rsid w:val="00080364"/>
    <w:rsid w:val="00133353"/>
    <w:rsid w:val="001455E1"/>
    <w:rsid w:val="001A0DAF"/>
    <w:rsid w:val="001B3F5D"/>
    <w:rsid w:val="001E068A"/>
    <w:rsid w:val="00215358"/>
    <w:rsid w:val="00245892"/>
    <w:rsid w:val="002540EE"/>
    <w:rsid w:val="00282122"/>
    <w:rsid w:val="00285F5E"/>
    <w:rsid w:val="002A6DF9"/>
    <w:rsid w:val="002D0359"/>
    <w:rsid w:val="002D60F8"/>
    <w:rsid w:val="002E3846"/>
    <w:rsid w:val="002E59B2"/>
    <w:rsid w:val="00314882"/>
    <w:rsid w:val="00333297"/>
    <w:rsid w:val="003432E7"/>
    <w:rsid w:val="00364E4D"/>
    <w:rsid w:val="0039477D"/>
    <w:rsid w:val="003B66B4"/>
    <w:rsid w:val="00406930"/>
    <w:rsid w:val="00411CFF"/>
    <w:rsid w:val="004A40D3"/>
    <w:rsid w:val="00504502"/>
    <w:rsid w:val="00506459"/>
    <w:rsid w:val="005A07C0"/>
    <w:rsid w:val="005A0FB5"/>
    <w:rsid w:val="005E598F"/>
    <w:rsid w:val="00601F80"/>
    <w:rsid w:val="0063591E"/>
    <w:rsid w:val="00687AE0"/>
    <w:rsid w:val="0069008C"/>
    <w:rsid w:val="006B5CFC"/>
    <w:rsid w:val="006B6AF5"/>
    <w:rsid w:val="007215CE"/>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93308"/>
    <w:rsid w:val="00DA7031"/>
    <w:rsid w:val="00DB1635"/>
    <w:rsid w:val="00DE7769"/>
    <w:rsid w:val="00E02784"/>
    <w:rsid w:val="00E72806"/>
    <w:rsid w:val="00EE4E34"/>
    <w:rsid w:val="00F56F2D"/>
    <w:rsid w:val="00F60778"/>
    <w:rsid w:val="00F805A4"/>
    <w:rsid w:val="00FA0899"/>
    <w:rsid w:val="00FB35BF"/>
    <w:rsid w:val="00FC3BD2"/>
    <w:rsid w:val="00FD09A1"/>
    <w:rsid w:val="00FE4849"/>
    <w:rsid w:val="04BF3B90"/>
    <w:rsid w:val="088F0C61"/>
    <w:rsid w:val="0A997F1F"/>
    <w:rsid w:val="0ACB4F8A"/>
    <w:rsid w:val="0E461CBB"/>
    <w:rsid w:val="0E6B4EF6"/>
    <w:rsid w:val="10C94215"/>
    <w:rsid w:val="14BF0E79"/>
    <w:rsid w:val="15CA62EE"/>
    <w:rsid w:val="16127A87"/>
    <w:rsid w:val="17510115"/>
    <w:rsid w:val="19590769"/>
    <w:rsid w:val="1AAC31BE"/>
    <w:rsid w:val="1CA03BAA"/>
    <w:rsid w:val="1E0E6C45"/>
    <w:rsid w:val="20F13B05"/>
    <w:rsid w:val="24A31D56"/>
    <w:rsid w:val="28D816FE"/>
    <w:rsid w:val="2A075663"/>
    <w:rsid w:val="2C0B77EF"/>
    <w:rsid w:val="2DA04568"/>
    <w:rsid w:val="2F355494"/>
    <w:rsid w:val="3151683C"/>
    <w:rsid w:val="31BD2FC0"/>
    <w:rsid w:val="335C4133"/>
    <w:rsid w:val="35BB3EDE"/>
    <w:rsid w:val="47B776BD"/>
    <w:rsid w:val="4A242EE8"/>
    <w:rsid w:val="4BC3419D"/>
    <w:rsid w:val="511579A6"/>
    <w:rsid w:val="555C73CD"/>
    <w:rsid w:val="5AF97694"/>
    <w:rsid w:val="5BC81856"/>
    <w:rsid w:val="5CA64B1C"/>
    <w:rsid w:val="5D5E2191"/>
    <w:rsid w:val="5DFC31B0"/>
    <w:rsid w:val="60E811EB"/>
    <w:rsid w:val="61C95033"/>
    <w:rsid w:val="61D57202"/>
    <w:rsid w:val="636B4880"/>
    <w:rsid w:val="6446715E"/>
    <w:rsid w:val="66926D50"/>
    <w:rsid w:val="696638FC"/>
    <w:rsid w:val="6B0F7633"/>
    <w:rsid w:val="6CC42C01"/>
    <w:rsid w:val="75DE3E59"/>
    <w:rsid w:val="76F524A2"/>
    <w:rsid w:val="7B0A7C47"/>
    <w:rsid w:val="7B783843"/>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列出段落1"/>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4A8F5A-975A-4F2C-A7E0-59A99DECD4E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7676</Words>
  <Characters>8042</Characters>
  <Lines>3</Lines>
  <Paragraphs>5</Paragraphs>
  <TotalTime>110</TotalTime>
  <ScaleCrop>false</ScaleCrop>
  <LinksUpToDate>false</LinksUpToDate>
  <CharactersWithSpaces>8156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Songzhe</cp:lastModifiedBy>
  <cp:lastPrinted>2023-09-18T07:44:00Z</cp:lastPrinted>
  <dcterms:modified xsi:type="dcterms:W3CDTF">2023-10-22T14:29:39Z</dcterms:modified>
  <dc:title>附件6</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5B9D466268584E779C5B3D5EFB861B9A_13</vt:lpwstr>
  </property>
</Properties>
</file>